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507191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less than 5MHz in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7.10.4.5</w:t>
      </w:r>
      <w:bookmarkStart w:id="3" w:name="_GoBack"/>
      <w:bookmarkEnd w:id="3"/>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RRM core requirements for Rel-19 NTN enhancements are discussed in past meetings. Since the scope of the core requirements is stable enough, it is time for RAN4 to start working on the performance part of the WI. We can see the main task on RRM performance part for less than 5MHz NTN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b/>
                <w:bCs w:val="0"/>
                <w:sz w:val="20"/>
                <w:szCs w:val="20"/>
                <w:lang w:val="en-US"/>
              </w:rPr>
            </w:pPr>
            <w:r>
              <w:rPr>
                <w:rFonts w:hint="default" w:ascii="Times New Roman" w:hAnsi="Times New Roman" w:eastAsia="等线" w:cs="Times New Roman"/>
                <w:b/>
                <w:bCs w:val="0"/>
                <w:kern w:val="0"/>
                <w:sz w:val="20"/>
                <w:szCs w:val="20"/>
                <w:lang w:val="en-US" w:eastAsia="zh-CN" w:bidi="ar"/>
              </w:rPr>
              <w:t>Less than 5MHz for NTN</w:t>
            </w:r>
          </w:p>
          <w:p>
            <w:pPr>
              <w:pStyle w:val="87"/>
              <w:widowControl/>
              <w:numPr>
                <w:ilvl w:val="0"/>
                <w:numId w:val="3"/>
              </w:numPr>
              <w:ind w:left="420" w:hanging="420" w:firstLineChars="0"/>
              <w:jc w:val="left"/>
              <w:rPr>
                <w:rFonts w:hint="default" w:ascii="Times New Roman" w:hAnsi="Times New Roman" w:cs="Times New Roman"/>
                <w:sz w:val="20"/>
                <w:szCs w:val="20"/>
                <w:lang w:val="en-US"/>
              </w:rPr>
            </w:pPr>
            <w:r>
              <w:rPr>
                <w:rFonts w:hint="default" w:ascii="Times New Roman" w:hAnsi="Times New Roman" w:cs="Times New Roman"/>
                <w:sz w:val="20"/>
                <w:szCs w:val="20"/>
                <w:lang w:val="en-US"/>
              </w:rPr>
              <w:t>Specify the necessary conformance requirements for SAN for less than 5 MHz for NR-NTN in FR1-NTN bands</w:t>
            </w:r>
          </w:p>
          <w:p>
            <w:pPr>
              <w:pStyle w:val="87"/>
              <w:widowControl/>
              <w:numPr>
                <w:ilvl w:val="0"/>
                <w:numId w:val="3"/>
              </w:numPr>
              <w:ind w:left="420" w:hanging="420" w:firstLineChars="0"/>
              <w:jc w:val="left"/>
              <w:rPr>
                <w:rFonts w:hint="default" w:ascii="Times New Roman" w:hAnsi="Times New Roman" w:cs="Times New Roman"/>
                <w:sz w:val="20"/>
                <w:szCs w:val="20"/>
                <w:highlight w:val="yellow"/>
                <w:lang w:val="en-US"/>
              </w:rPr>
            </w:pPr>
            <w:r>
              <w:rPr>
                <w:rFonts w:hint="default" w:ascii="Times New Roman" w:hAnsi="Times New Roman" w:cs="Times New Roman"/>
                <w:sz w:val="20"/>
                <w:szCs w:val="20"/>
                <w:highlight w:val="yellow"/>
                <w:lang w:val="en-US"/>
              </w:rPr>
              <w:t>Specify the necessary RRM performance requirements and test cases for less than 5 MHz for NR-NTN in FR1-NTN bands</w:t>
            </w:r>
          </w:p>
          <w:p>
            <w:pPr>
              <w:pStyle w:val="87"/>
              <w:widowControl/>
              <w:numPr>
                <w:ilvl w:val="0"/>
                <w:numId w:val="3"/>
              </w:numPr>
              <w:spacing w:before="0" w:beforeAutospacing="0" w:after="180" w:afterAutospacing="0"/>
              <w:ind w:left="420" w:right="0" w:hanging="420" w:firstLineChars="0"/>
              <w:jc w:val="left"/>
              <w:rPr>
                <w:rFonts w:hint="default" w:eastAsia="宋体"/>
                <w:sz w:val="22"/>
                <w:szCs w:val="22"/>
                <w:vertAlign w:val="baseline"/>
                <w:lang w:val="en-US" w:eastAsia="zh-CN"/>
              </w:rPr>
            </w:pPr>
            <w:r>
              <w:rPr>
                <w:rFonts w:hint="default" w:ascii="Times New Roman" w:hAnsi="Times New Roman" w:cs="Times New Roman"/>
                <w:sz w:val="20"/>
                <w:szCs w:val="20"/>
                <w:lang w:val="en-US"/>
              </w:rPr>
              <w:t>Specify the necessary demodulation performance requirements for less than 5 MHz for NR-NTN in FR1-NTN bands</w:t>
            </w:r>
          </w:p>
        </w:tc>
      </w:tr>
    </w:tbl>
    <w:p>
      <w:pPr>
        <w:spacing w:beforeLines="50" w:after="0" w:afterLines="50"/>
        <w:jc w:val="both"/>
        <w:rPr>
          <w:rFonts w:hint="default" w:eastAsia="宋体"/>
          <w:sz w:val="22"/>
          <w:szCs w:val="22"/>
          <w:lang w:val="en-US" w:eastAsia="zh-CN"/>
        </w:rPr>
      </w:pPr>
      <w:r>
        <w:rPr>
          <w:rFonts w:hint="eastAsia" w:eastAsia="宋体"/>
          <w:sz w:val="22"/>
          <w:szCs w:val="22"/>
          <w:lang w:val="en-US" w:eastAsia="zh-CN"/>
        </w:rPr>
        <w:t>In this paper we will provide our views on RRM performance requirements on less than 5MHz NTN.</w:t>
      </w:r>
    </w:p>
    <w:p>
      <w:pPr>
        <w:pStyle w:val="77"/>
        <w:rPr>
          <w:lang w:val="en-US"/>
        </w:rPr>
      </w:pPr>
      <w:r>
        <w:rPr>
          <w:lang w:val="en-US"/>
        </w:rPr>
        <w:t>Discussion</w:t>
      </w:r>
    </w:p>
    <w:p>
      <w:pPr>
        <w:spacing w:after="120"/>
        <w:jc w:val="both"/>
        <w:rPr>
          <w:rFonts w:hint="eastAsia"/>
          <w:b w:val="0"/>
          <w:bCs w:val="0"/>
          <w:lang w:val="en-US" w:eastAsia="zh-CN"/>
        </w:rPr>
      </w:pPr>
      <w:r>
        <w:rPr>
          <w:rFonts w:hint="eastAsia"/>
          <w:b w:val="0"/>
          <w:bCs w:val="0"/>
          <w:lang w:val="en-US" w:eastAsia="zh-CN"/>
        </w:rPr>
        <w:t>In last meeting, we have already confirmed the measurement accuracy requirements and common testing configuration. For test cases, there are still some remaining issues to be discussed. In this paper, we would like to provide the views from our side.</w:t>
      </w:r>
    </w:p>
    <w:p>
      <w:pPr>
        <w:pStyle w:val="3"/>
        <w:rPr>
          <w:rFonts w:hint="default"/>
          <w:sz w:val="28"/>
          <w:szCs w:val="18"/>
          <w:lang w:val="en-US" w:eastAsia="zh-CN"/>
        </w:rPr>
      </w:pPr>
      <w:r>
        <w:rPr>
          <w:rFonts w:hint="eastAsia"/>
          <w:sz w:val="28"/>
          <w:szCs w:val="18"/>
          <w:lang w:val="en-US" w:eastAsia="zh-CN"/>
        </w:rPr>
        <w:t>Issue 2-2-2 Test cases to verify the core requirements reusing NTN</w:t>
      </w:r>
    </w:p>
    <w:p>
      <w:pPr>
        <w:spacing w:after="120"/>
        <w:rPr>
          <w:rFonts w:hint="eastAsia"/>
          <w:b w:val="0"/>
          <w:bCs w:val="0"/>
          <w:lang w:val="en-US" w:eastAsia="zh-CN"/>
        </w:rPr>
      </w:pPr>
      <w:r>
        <w:rPr>
          <w:rFonts w:hint="eastAsia"/>
          <w:b w:val="0"/>
          <w:bCs w:val="0"/>
          <w:lang w:val="en-US" w:eastAsia="zh-CN"/>
        </w:rPr>
        <w:t>The agreements reached in last meeting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eastAsia="等线"/>
                <w:sz w:val="21"/>
                <w:szCs w:val="21"/>
                <w:highlight w:val="green"/>
                <w:lang w:eastAsia="zh-CN"/>
              </w:rPr>
            </w:pPr>
            <w:r>
              <w:rPr>
                <w:rFonts w:hint="eastAsia" w:eastAsia="等线"/>
                <w:sz w:val="21"/>
                <w:szCs w:val="21"/>
                <w:highlight w:val="green"/>
                <w:lang w:eastAsia="zh-CN"/>
              </w:rPr>
              <w:t>A</w:t>
            </w:r>
            <w:r>
              <w:rPr>
                <w:rFonts w:hint="default" w:eastAsia="等线"/>
                <w:sz w:val="21"/>
                <w:szCs w:val="21"/>
                <w:highlight w:val="green"/>
                <w:lang w:eastAsia="zh-CN"/>
              </w:rPr>
              <w:t>greement:</w:t>
            </w:r>
          </w:p>
          <w:p>
            <w:pPr>
              <w:pStyle w:val="73"/>
              <w:keepNext w:val="0"/>
              <w:keepLines w:val="0"/>
              <w:widowControl w:val="0"/>
              <w:numPr>
                <w:ilvl w:val="1"/>
                <w:numId w:val="4"/>
              </w:numPr>
              <w:suppressLineNumbers w:val="0"/>
              <w:overflowPunct/>
              <w:autoSpaceDE/>
              <w:adjustRightInd/>
              <w:snapToGrid w:val="0"/>
              <w:spacing w:before="0" w:beforeAutospacing="0" w:after="120" w:afterAutospacing="0"/>
              <w:ind w:left="1648" w:right="0" w:firstLineChars="0"/>
              <w:textAlignment w:val="auto"/>
              <w:rPr>
                <w:rFonts w:hint="default"/>
                <w:iCs/>
                <w:szCs w:val="21"/>
                <w:highlight w:val="green"/>
              </w:rPr>
            </w:pPr>
            <w:r>
              <w:rPr>
                <w:rFonts w:hint="default"/>
                <w:iCs/>
                <w:szCs w:val="21"/>
                <w:highlight w:val="green"/>
              </w:rPr>
              <w:t>Not define the new test cases for the following requirements</w:t>
            </w:r>
          </w:p>
          <w:tbl>
            <w:tblPr>
              <w:tblStyle w:val="30"/>
              <w:tblW w:w="54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2552"/>
              <w:gridCol w:w="29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4" w:hRule="atLeast"/>
                <w:jc w:val="center"/>
              </w:trPr>
              <w:tc>
                <w:tcPr>
                  <w:tcW w:w="2552" w:type="dxa"/>
                  <w:tcMar>
                    <w:top w:w="90" w:type="dxa"/>
                    <w:left w:w="90" w:type="dxa"/>
                    <w:bottom w:w="90" w:type="dxa"/>
                    <w:right w:w="90" w:type="dxa"/>
                  </w:tcMar>
                </w:tcPr>
                <w:p>
                  <w:pPr>
                    <w:keepNext w:val="0"/>
                    <w:keepLines w:val="0"/>
                    <w:widowControl/>
                    <w:suppressLineNumbers w:val="0"/>
                    <w:snapToGrid w:val="0"/>
                    <w:spacing w:before="0" w:beforeAutospacing="0" w:after="120" w:afterAutospacing="0"/>
                    <w:ind w:left="0" w:right="0"/>
                    <w:rPr>
                      <w:rFonts w:hint="default"/>
                      <w:sz w:val="21"/>
                      <w:szCs w:val="21"/>
                      <w:highlight w:val="green"/>
                    </w:rPr>
                  </w:pPr>
                  <w:r>
                    <w:rPr>
                      <w:rFonts w:hint="default"/>
                      <w:bCs/>
                      <w:sz w:val="21"/>
                      <w:szCs w:val="21"/>
                      <w:highlight w:val="green"/>
                    </w:rPr>
                    <w:t>RRM requirements</w:t>
                  </w:r>
                </w:p>
              </w:tc>
              <w:tc>
                <w:tcPr>
                  <w:tcW w:w="2918" w:type="dxa"/>
                  <w:tcMar>
                    <w:top w:w="90" w:type="dxa"/>
                    <w:left w:w="90" w:type="dxa"/>
                    <w:bottom w:w="90" w:type="dxa"/>
                    <w:right w:w="90" w:type="dxa"/>
                  </w:tcMar>
                </w:tcPr>
                <w:p>
                  <w:pPr>
                    <w:keepNext w:val="0"/>
                    <w:keepLines w:val="0"/>
                    <w:widowControl/>
                    <w:suppressLineNumbers w:val="0"/>
                    <w:snapToGrid w:val="0"/>
                    <w:spacing w:before="0" w:beforeAutospacing="0" w:after="120" w:afterAutospacing="0"/>
                    <w:ind w:left="0" w:right="0"/>
                    <w:rPr>
                      <w:rFonts w:hint="default"/>
                      <w:sz w:val="21"/>
                      <w:szCs w:val="21"/>
                      <w:highlight w:val="green"/>
                    </w:rPr>
                  </w:pPr>
                  <w:r>
                    <w:rPr>
                      <w:rFonts w:hint="default"/>
                      <w:bCs/>
                      <w:sz w:val="21"/>
                      <w:szCs w:val="21"/>
                      <w:highlight w:val="green"/>
                    </w:rPr>
                    <w:t>NTN requirements in TS38.133 v18.5.0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0" w:hRule="atLeast"/>
                <w:jc w:val="center"/>
              </w:trPr>
              <w:tc>
                <w:tcPr>
                  <w:tcW w:w="2552" w:type="dxa"/>
                  <w:tcMar>
                    <w:top w:w="90" w:type="dxa"/>
                    <w:left w:w="90" w:type="dxa"/>
                    <w:bottom w:w="90" w:type="dxa"/>
                    <w:right w:w="90" w:type="dxa"/>
                  </w:tcMar>
                </w:tcPr>
                <w:p>
                  <w:pPr>
                    <w:keepNext w:val="0"/>
                    <w:keepLines w:val="0"/>
                    <w:widowControl/>
                    <w:suppressLineNumbers w:val="0"/>
                    <w:snapToGrid w:val="0"/>
                    <w:spacing w:before="0" w:beforeAutospacing="0" w:after="120" w:afterAutospacing="0"/>
                    <w:ind w:left="0" w:right="0"/>
                    <w:rPr>
                      <w:rFonts w:hint="default"/>
                      <w:bCs/>
                      <w:sz w:val="21"/>
                      <w:szCs w:val="21"/>
                      <w:highlight w:val="green"/>
                    </w:rPr>
                  </w:pPr>
                  <w:r>
                    <w:rPr>
                      <w:rFonts w:hint="default"/>
                      <w:bCs/>
                      <w:sz w:val="21"/>
                      <w:szCs w:val="21"/>
                      <w:highlight w:val="green"/>
                    </w:rPr>
                    <w:t>RRC connection mobility control</w:t>
                  </w:r>
                </w:p>
              </w:tc>
              <w:tc>
                <w:tcPr>
                  <w:tcW w:w="2918" w:type="dxa"/>
                  <w:tcMar>
                    <w:top w:w="90" w:type="dxa"/>
                    <w:left w:w="90" w:type="dxa"/>
                    <w:bottom w:w="90" w:type="dxa"/>
                    <w:right w:w="90" w:type="dxa"/>
                  </w:tcMar>
                </w:tcPr>
                <w:p>
                  <w:pPr>
                    <w:keepNext w:val="0"/>
                    <w:keepLines w:val="0"/>
                    <w:widowControl/>
                    <w:suppressLineNumbers w:val="0"/>
                    <w:tabs>
                      <w:tab w:val="left" w:pos="0"/>
                      <w:tab w:val="left" w:pos="2600"/>
                    </w:tabs>
                    <w:snapToGrid w:val="0"/>
                    <w:spacing w:before="0" w:beforeAutospacing="0" w:after="120" w:afterAutospacing="0"/>
                    <w:ind w:left="0" w:right="0"/>
                    <w:rPr>
                      <w:rFonts w:hint="default"/>
                      <w:sz w:val="21"/>
                      <w:szCs w:val="21"/>
                      <w:highlight w:val="green"/>
                    </w:rPr>
                  </w:pPr>
                  <w:r>
                    <w:rPr>
                      <w:rFonts w:hint="default"/>
                      <w:sz w:val="21"/>
                      <w:szCs w:val="21"/>
                      <w:highlight w:val="green"/>
                    </w:rPr>
                    <w:t>6.2C RRC Connection Mobility Control for Satellite Access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5" w:hRule="atLeast"/>
                <w:jc w:val="center"/>
              </w:trPr>
              <w:tc>
                <w:tcPr>
                  <w:tcW w:w="2552" w:type="dxa"/>
                  <w:tcMar>
                    <w:top w:w="90" w:type="dxa"/>
                    <w:left w:w="90" w:type="dxa"/>
                    <w:bottom w:w="90" w:type="dxa"/>
                    <w:right w:w="90" w:type="dxa"/>
                  </w:tcMar>
                </w:tcPr>
                <w:p>
                  <w:pPr>
                    <w:keepNext w:val="0"/>
                    <w:keepLines w:val="0"/>
                    <w:widowControl/>
                    <w:suppressLineNumbers w:val="0"/>
                    <w:snapToGrid w:val="0"/>
                    <w:spacing w:before="0" w:beforeAutospacing="0" w:after="120" w:afterAutospacing="0"/>
                    <w:ind w:left="0" w:right="0"/>
                    <w:rPr>
                      <w:rFonts w:hint="default"/>
                      <w:sz w:val="21"/>
                      <w:szCs w:val="21"/>
                      <w:highlight w:val="green"/>
                    </w:rPr>
                  </w:pPr>
                  <w:r>
                    <w:rPr>
                      <w:rFonts w:hint="default"/>
                      <w:bCs/>
                      <w:sz w:val="21"/>
                      <w:szCs w:val="21"/>
                      <w:highlight w:val="green"/>
                    </w:rPr>
                    <w:t>UE Tx timing, MTTD/ MRTD, timer accuracy, TA accuracy</w:t>
                  </w:r>
                </w:p>
              </w:tc>
              <w:tc>
                <w:tcPr>
                  <w:tcW w:w="2918" w:type="dxa"/>
                  <w:tcMar>
                    <w:top w:w="90" w:type="dxa"/>
                    <w:left w:w="90" w:type="dxa"/>
                    <w:bottom w:w="90" w:type="dxa"/>
                    <w:right w:w="90" w:type="dxa"/>
                  </w:tcMar>
                </w:tcPr>
                <w:p>
                  <w:pPr>
                    <w:keepNext w:val="0"/>
                    <w:keepLines w:val="0"/>
                    <w:widowControl/>
                    <w:suppressLineNumbers w:val="0"/>
                    <w:snapToGrid w:val="0"/>
                    <w:spacing w:before="0" w:beforeAutospacing="0" w:after="120" w:afterAutospacing="0"/>
                    <w:ind w:left="0" w:right="0"/>
                    <w:rPr>
                      <w:rFonts w:hint="default"/>
                      <w:sz w:val="21"/>
                      <w:szCs w:val="21"/>
                      <w:highlight w:val="green"/>
                    </w:rPr>
                  </w:pPr>
                  <w:r>
                    <w:rPr>
                      <w:rFonts w:hint="default"/>
                      <w:sz w:val="21"/>
                      <w:szCs w:val="21"/>
                      <w:highlight w:val="green"/>
                    </w:rPr>
                    <w:t>7.1C, 7.2C, 7.3C</w:t>
                  </w:r>
                </w:p>
              </w:tc>
            </w:tr>
          </w:tbl>
          <w:p>
            <w:pPr>
              <w:keepNext w:val="0"/>
              <w:keepLines w:val="0"/>
              <w:widowControl/>
              <w:suppressLineNumbers w:val="0"/>
              <w:snapToGrid w:val="0"/>
              <w:spacing w:before="0" w:beforeAutospacing="0" w:after="120" w:afterAutospacing="0"/>
              <w:ind w:left="0" w:right="0"/>
              <w:rPr>
                <w:rFonts w:hint="default"/>
                <w:sz w:val="21"/>
                <w:szCs w:val="21"/>
                <w:highlight w:val="green"/>
              </w:rPr>
            </w:pPr>
          </w:p>
          <w:p>
            <w:pPr>
              <w:pStyle w:val="73"/>
              <w:keepNext w:val="0"/>
              <w:keepLines w:val="0"/>
              <w:widowControl w:val="0"/>
              <w:numPr>
                <w:ilvl w:val="1"/>
                <w:numId w:val="4"/>
              </w:numPr>
              <w:suppressLineNumbers w:val="0"/>
              <w:overflowPunct/>
              <w:autoSpaceDE/>
              <w:adjustRightInd/>
              <w:snapToGrid w:val="0"/>
              <w:spacing w:before="0" w:beforeAutospacing="0" w:after="120" w:afterAutospacing="0"/>
              <w:ind w:left="1648" w:right="0" w:firstLineChars="0"/>
              <w:textAlignment w:val="auto"/>
              <w:rPr>
                <w:rFonts w:hint="default"/>
                <w:iCs/>
                <w:szCs w:val="21"/>
                <w:highlight w:val="green"/>
              </w:rPr>
            </w:pPr>
            <w:r>
              <w:rPr>
                <w:rFonts w:hint="default"/>
                <w:iCs/>
                <w:szCs w:val="21"/>
                <w:highlight w:val="green"/>
              </w:rPr>
              <w:t>Further discuss whether to define the new test case for the following requirement</w:t>
            </w:r>
          </w:p>
          <w:tbl>
            <w:tblPr>
              <w:tblStyle w:val="30"/>
              <w:tblW w:w="54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2552"/>
              <w:gridCol w:w="29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2" w:hRule="atLeast"/>
                <w:jc w:val="center"/>
              </w:trPr>
              <w:tc>
                <w:tcPr>
                  <w:tcW w:w="2552" w:type="dxa"/>
                  <w:tcMar>
                    <w:top w:w="90" w:type="dxa"/>
                    <w:left w:w="90" w:type="dxa"/>
                    <w:bottom w:w="90" w:type="dxa"/>
                    <w:right w:w="90" w:type="dxa"/>
                  </w:tcMar>
                </w:tcPr>
                <w:p>
                  <w:pPr>
                    <w:keepNext w:val="0"/>
                    <w:keepLines w:val="0"/>
                    <w:widowControl/>
                    <w:suppressLineNumbers w:val="0"/>
                    <w:snapToGrid w:val="0"/>
                    <w:spacing w:before="0" w:beforeAutospacing="0" w:after="120" w:afterAutospacing="0"/>
                    <w:ind w:left="0" w:right="0"/>
                    <w:rPr>
                      <w:rFonts w:hint="default"/>
                      <w:sz w:val="21"/>
                      <w:szCs w:val="21"/>
                      <w:highlight w:val="green"/>
                    </w:rPr>
                  </w:pPr>
                  <w:r>
                    <w:rPr>
                      <w:rFonts w:hint="default"/>
                      <w:bCs/>
                      <w:sz w:val="21"/>
                      <w:szCs w:val="21"/>
                      <w:highlight w:val="green"/>
                    </w:rPr>
                    <w:t>IDLE/inactive mode mobility</w:t>
                  </w:r>
                </w:p>
              </w:tc>
              <w:tc>
                <w:tcPr>
                  <w:tcW w:w="2918" w:type="dxa"/>
                  <w:tcMar>
                    <w:top w:w="90" w:type="dxa"/>
                    <w:left w:w="90" w:type="dxa"/>
                    <w:bottom w:w="90" w:type="dxa"/>
                    <w:right w:w="90" w:type="dxa"/>
                  </w:tcMar>
                </w:tcPr>
                <w:p>
                  <w:pPr>
                    <w:keepNext w:val="0"/>
                    <w:keepLines w:val="0"/>
                    <w:widowControl/>
                    <w:suppressLineNumbers w:val="0"/>
                    <w:tabs>
                      <w:tab w:val="left" w:pos="0"/>
                      <w:tab w:val="left" w:pos="2600"/>
                    </w:tabs>
                    <w:snapToGrid w:val="0"/>
                    <w:spacing w:before="0" w:beforeAutospacing="0" w:after="120" w:afterAutospacing="0"/>
                    <w:ind w:left="0" w:right="0"/>
                    <w:rPr>
                      <w:rFonts w:hint="default"/>
                      <w:sz w:val="21"/>
                      <w:szCs w:val="21"/>
                      <w:highlight w:val="green"/>
                    </w:rPr>
                  </w:pPr>
                  <w:r>
                    <w:rPr>
                      <w:rFonts w:hint="default"/>
                      <w:sz w:val="21"/>
                      <w:szCs w:val="21"/>
                      <w:highlight w:val="green"/>
                    </w:rPr>
                    <w:t>4.2C Cell Re-selection for NR UE for Satellite Access</w:t>
                  </w:r>
                </w:p>
              </w:tc>
            </w:tr>
          </w:tbl>
          <w:p>
            <w:pPr>
              <w:keepNext w:val="0"/>
              <w:keepLines w:val="0"/>
              <w:widowControl/>
              <w:suppressLineNumbers w:val="0"/>
              <w:spacing w:before="0" w:beforeAutospacing="0" w:after="120" w:afterAutospacing="0"/>
              <w:ind w:left="0" w:right="0"/>
              <w:rPr>
                <w:rFonts w:hint="default"/>
                <w:b w:val="0"/>
                <w:bCs w:val="0"/>
                <w:sz w:val="20"/>
                <w:szCs w:val="20"/>
                <w:vertAlign w:val="baseline"/>
                <w:lang w:val="en-US" w:eastAsia="zh-CN"/>
              </w:rPr>
            </w:pPr>
          </w:p>
        </w:tc>
      </w:tr>
    </w:tbl>
    <w:p>
      <w:pPr>
        <w:spacing w:beforeLines="50" w:after="120"/>
        <w:rPr>
          <w:rFonts w:hint="eastAsia"/>
          <w:b w:val="0"/>
          <w:bCs w:val="0"/>
          <w:lang w:val="en-US" w:eastAsia="zh-CN"/>
        </w:rPr>
      </w:pPr>
      <w:r>
        <w:rPr>
          <w:rFonts w:hint="eastAsia"/>
          <w:b w:val="0"/>
          <w:bCs w:val="0"/>
          <w:lang w:val="en-US" w:eastAsia="zh-CN"/>
        </w:rPr>
        <w:t>To our understanding, we shall confirm the test case for cell re-selection for less than 5M NTN. First of all, we have one agreement in core part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120" w:afterAutospacing="0"/>
              <w:ind w:left="0" w:right="0"/>
              <w:rPr>
                <w:rFonts w:hint="default"/>
                <w:bCs/>
                <w:i/>
                <w:iCs/>
                <w:sz w:val="20"/>
                <w:szCs w:val="20"/>
                <w:highlight w:val="none"/>
                <w:lang w:val="en-US" w:eastAsia="zh-CN"/>
              </w:rPr>
            </w:pPr>
            <w:r>
              <w:rPr>
                <w:rFonts w:hint="eastAsia"/>
                <w:bCs/>
                <w:i/>
                <w:iCs/>
                <w:sz w:val="20"/>
                <w:szCs w:val="20"/>
                <w:highlight w:val="none"/>
                <w:lang w:val="en-US" w:eastAsia="zh-CN"/>
              </w:rPr>
              <w:t>Agreement:</w:t>
            </w:r>
          </w:p>
          <w:p>
            <w:pPr>
              <w:keepNext w:val="0"/>
              <w:keepLines w:val="0"/>
              <w:widowControl/>
              <w:suppressLineNumbers w:val="0"/>
              <w:spacing w:before="0" w:beforeLines="50" w:beforeAutospacing="0" w:after="120" w:afterAutospacing="0"/>
              <w:ind w:left="0" w:right="0"/>
              <w:rPr>
                <w:rFonts w:hint="eastAsia"/>
                <w:bCs/>
                <w:sz w:val="20"/>
                <w:szCs w:val="20"/>
                <w:highlight w:val="none"/>
                <w:lang w:val="en-US" w:eastAsia="zh-CN"/>
              </w:rPr>
            </w:pPr>
            <w:r>
              <w:rPr>
                <w:rFonts w:hint="default"/>
                <w:bCs/>
                <w:sz w:val="20"/>
                <w:szCs w:val="20"/>
                <w:highlight w:val="none"/>
                <w:lang w:eastAsia="zh-CN"/>
              </w:rPr>
              <w:t>No core part impact</w:t>
            </w:r>
            <w:r>
              <w:rPr>
                <w:rFonts w:hint="eastAsia"/>
                <w:bCs/>
                <w:sz w:val="20"/>
                <w:szCs w:val="20"/>
                <w:highlight w:val="none"/>
                <w:lang w:val="en-US" w:eastAsia="zh-CN"/>
              </w:rPr>
              <w:t>.</w:t>
            </w:r>
          </w:p>
          <w:p>
            <w:pPr>
              <w:keepNext w:val="0"/>
              <w:keepLines w:val="0"/>
              <w:widowControl/>
              <w:suppressLineNumbers w:val="0"/>
              <w:spacing w:before="0" w:beforeLines="50" w:beforeAutospacing="0" w:after="120" w:afterAutospacing="0"/>
              <w:ind w:left="0" w:right="0"/>
              <w:rPr>
                <w:rFonts w:hint="eastAsia"/>
                <w:bCs/>
                <w:i/>
                <w:iCs/>
                <w:sz w:val="20"/>
                <w:szCs w:val="20"/>
                <w:highlight w:val="none"/>
                <w:lang w:val="en-US" w:eastAsia="zh-CN"/>
              </w:rPr>
            </w:pPr>
            <w:r>
              <w:rPr>
                <w:rFonts w:hint="eastAsia"/>
                <w:bCs/>
                <w:i/>
                <w:iCs/>
                <w:sz w:val="20"/>
                <w:szCs w:val="20"/>
                <w:highlight w:val="none"/>
                <w:lang w:val="en-US" w:eastAsia="zh-CN"/>
              </w:rPr>
              <w:t>Discussion:</w:t>
            </w:r>
          </w:p>
          <w:p>
            <w:pPr>
              <w:keepNext w:val="0"/>
              <w:keepLines w:val="0"/>
              <w:widowControl/>
              <w:suppressLineNumbers w:val="0"/>
              <w:spacing w:before="0" w:beforeLines="50" w:beforeAutospacing="0" w:after="120" w:afterAutospacing="0"/>
              <w:ind w:left="0" w:right="0"/>
              <w:rPr>
                <w:rFonts w:hint="default"/>
                <w:bCs/>
                <w:sz w:val="20"/>
                <w:szCs w:val="20"/>
                <w:highlight w:val="none"/>
                <w:lang w:val="en-US" w:eastAsia="zh-CN"/>
              </w:rPr>
            </w:pPr>
            <w:r>
              <w:rPr>
                <w:rFonts w:hint="eastAsia" w:ascii="Times New Roman" w:hAnsi="Times New Roman" w:eastAsia="宋体" w:cs="Times New Roman"/>
                <w:b w:val="0"/>
                <w:bCs/>
                <w:kern w:val="2"/>
                <w:sz w:val="21"/>
                <w:szCs w:val="24"/>
                <w:lang w:val="en-US" w:eastAsia="zh-CN" w:bidi="ar-SA"/>
              </w:rPr>
              <w:t xml:space="preserve">However, regarding there is no any exact Tsi-nr given in TS38.133 </w:t>
            </w:r>
            <w:r>
              <w:rPr>
                <w:rFonts w:hint="eastAsia" w:ascii="Times New Roman" w:hAnsi="Times New Roman" w:eastAsia="宋体" w:cs="Times New Roman"/>
                <w:b w:val="0"/>
                <w:bCs/>
                <w:kern w:val="2"/>
                <w:sz w:val="21"/>
                <w:szCs w:val="24"/>
                <w:highlight w:val="yellow"/>
                <w:lang w:val="en-US" w:eastAsia="zh-CN" w:bidi="ar-SA"/>
              </w:rPr>
              <w:t>only the testing parameter will be given</w:t>
            </w:r>
            <w:r>
              <w:rPr>
                <w:rFonts w:hint="eastAsia" w:eastAsia="宋体" w:cs="Times New Roman"/>
                <w:b w:val="0"/>
                <w:bCs/>
                <w:kern w:val="2"/>
                <w:sz w:val="21"/>
                <w:szCs w:val="24"/>
                <w:lang w:val="en-US" w:eastAsia="zh-CN" w:bidi="ar-SA"/>
              </w:rPr>
              <w:t>.</w:t>
            </w:r>
          </w:p>
        </w:tc>
      </w:tr>
    </w:tbl>
    <w:p>
      <w:pPr>
        <w:spacing w:beforeLines="50" w:after="120"/>
        <w:rPr>
          <w:rFonts w:hint="eastAsia"/>
          <w:b w:val="0"/>
          <w:bCs w:val="0"/>
          <w:lang w:val="en-US" w:eastAsia="zh-CN"/>
        </w:rPr>
      </w:pPr>
      <w:r>
        <w:rPr>
          <w:rFonts w:hint="eastAsia"/>
          <w:b w:val="0"/>
          <w:bCs w:val="0"/>
          <w:lang w:val="en-US" w:eastAsia="zh-CN"/>
        </w:rPr>
        <w:t>Although there is no core part impact on cell re-selection requirements, regarding there is no exact Tsi-nr given in current spec, only the testing parameter will be given. Thus, we deem that the testing parameter shall be defined. In legacy TN less than 5M WI, the reason to define new test case for cell re-selection is that UE needs to read SIB/MIB from the target cell, which is same in HO. RAN4 did not define new core requirements because the exact delay for UE to read SIB/MIB is included in Tsi but the exact value is not specified. In the test, Tsi is defined as 1280ms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overflowPunct w:val="0"/>
              <w:autoSpaceDE w:val="0"/>
              <w:autoSpaceDN w:val="0"/>
              <w:adjustRightInd w:val="0"/>
              <w:spacing w:before="0" w:beforeLines="-2147483648" w:beforeAutospacing="0" w:after="180" w:afterAutospacing="0"/>
              <w:ind w:left="0" w:right="0"/>
              <w:rPr>
                <w:rFonts w:hint="eastAsia"/>
                <w:b w:val="0"/>
                <w:bCs w:val="0"/>
                <w:sz w:val="20"/>
                <w:szCs w:val="20"/>
                <w:vertAlign w:val="baseline"/>
                <w:lang w:val="en-US" w:eastAsia="zh-CN"/>
              </w:rPr>
            </w:pPr>
            <w:r>
              <w:rPr>
                <w:rFonts w:hint="eastAsia"/>
                <w:b w:val="0"/>
                <w:bCs w:val="0"/>
                <w:sz w:val="20"/>
                <w:szCs w:val="20"/>
                <w:vertAlign w:val="baseline"/>
                <w:lang w:val="en-US" w:eastAsia="zh-CN"/>
              </w:rPr>
              <w:t>Legacy TN test requirements for Tsi:</w:t>
            </w:r>
          </w:p>
          <w:p>
            <w:pPr>
              <w:keepNext w:val="0"/>
              <w:keepLines w:val="0"/>
              <w:widowControl/>
              <w:suppressLineNumbers w:val="0"/>
              <w:overflowPunct w:val="0"/>
              <w:autoSpaceDE w:val="0"/>
              <w:autoSpaceDN w:val="0"/>
              <w:adjustRightInd w:val="0"/>
              <w:spacing w:before="0" w:beforeLines="-2147483648" w:beforeAutospacing="0" w:after="180" w:afterAutospacing="0"/>
              <w:ind w:left="0" w:right="0"/>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SI-NR</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Maximum repetition period of relevant system info blocks that needs to be received by the UE to camp on a cell; </w:t>
            </w:r>
            <w:r>
              <w:rPr>
                <w:rFonts w:hint="default" w:ascii="Times New Roman" w:hAnsi="Times New Roman" w:eastAsia="Times New Roman" w:cs="Times New Roman"/>
                <w:kern w:val="0"/>
                <w:sz w:val="20"/>
                <w:szCs w:val="20"/>
                <w:highlight w:val="yellow"/>
                <w:lang w:val="en-US" w:eastAsia="zh-CN" w:bidi="ar"/>
              </w:rPr>
              <w:t>1280 ms</w:t>
            </w:r>
            <w:r>
              <w:rPr>
                <w:rFonts w:hint="default" w:ascii="Times New Roman" w:hAnsi="Times New Roman" w:eastAsia="Times New Roman" w:cs="Times New Roman"/>
                <w:kern w:val="0"/>
                <w:sz w:val="20"/>
                <w:szCs w:val="20"/>
                <w:lang w:val="en-US" w:eastAsia="zh-CN" w:bidi="ar"/>
              </w:rPr>
              <w:t xml:space="preserve"> is assumed in this test case.</w:t>
            </w:r>
          </w:p>
        </w:tc>
      </w:tr>
    </w:tbl>
    <w:p>
      <w:pPr>
        <w:spacing w:beforeLines="50" w:after="120"/>
        <w:rPr>
          <w:rFonts w:hint="eastAsia"/>
          <w:b w:val="0"/>
          <w:bCs w:val="0"/>
          <w:lang w:val="en-US" w:eastAsia="zh-CN"/>
        </w:rPr>
      </w:pPr>
      <w:r>
        <w:rPr>
          <w:rFonts w:hint="eastAsia"/>
          <w:b w:val="0"/>
          <w:bCs w:val="0"/>
          <w:lang w:val="en-US" w:eastAsia="zh-CN"/>
        </w:rPr>
        <w:t>Since the legacy delay as 1280ms is not enough to accommodate longer delay for SIB/MIB reading due to punctured PBCH, thus, the legacy test requirements on less than 5M TN can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Lines="-2147483648" w:beforeAutospacing="0" w:after="180" w:afterAutospacing="0"/>
              <w:ind w:left="0" w:right="0"/>
              <w:rPr>
                <w:rFonts w:hint="default" w:ascii="Times New Roman" w:hAnsi="Times New Roman" w:eastAsia="Times New Roman" w:cs="Times New Roman"/>
                <w:kern w:val="0"/>
                <w:sz w:val="20"/>
                <w:szCs w:val="20"/>
                <w:lang w:val="en-US" w:eastAsia="zh-CN" w:bidi="ar"/>
              </w:rPr>
            </w:pPr>
            <w:r>
              <w:rPr>
                <w:rFonts w:hint="eastAsia" w:ascii="Times New Roman" w:hAnsi="Times New Roman" w:eastAsia="Times New Roman" w:cs="Times New Roman"/>
                <w:kern w:val="0"/>
                <w:sz w:val="20"/>
                <w:szCs w:val="20"/>
                <w:lang w:val="en-US" w:eastAsia="zh-CN" w:bidi="ar"/>
              </w:rPr>
              <w:t>Legacy TN with less than 5M for Tsi:</w:t>
            </w:r>
          </w:p>
          <w:p>
            <w:pPr>
              <w:keepNext w:val="0"/>
              <w:keepLines w:val="0"/>
              <w:widowControl/>
              <w:suppressLineNumbers w:val="0"/>
              <w:overflowPunct w:val="0"/>
              <w:autoSpaceDE w:val="0"/>
              <w:autoSpaceDN w:val="0"/>
              <w:adjustRightInd w:val="0"/>
              <w:spacing w:before="0" w:beforeLines="-2147483648" w:beforeAutospacing="0" w:after="180" w:afterAutospacing="0"/>
              <w:ind w:left="0" w:right="0"/>
              <w:rPr>
                <w:rFonts w:hint="default"/>
                <w:b w:val="0"/>
                <w:bCs w:val="0"/>
                <w:sz w:val="20"/>
                <w:szCs w:val="20"/>
                <w:vertAlign w:val="baseline"/>
                <w:lang w:val="en-US" w:eastAsia="zh-CN"/>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SI-NR</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Maximum repetition period of relevant system info blocks that needs to be received by the UE to camp on a cell; </w:t>
            </w:r>
            <w:r>
              <w:rPr>
                <w:rFonts w:hint="default" w:ascii="Times New Roman" w:hAnsi="Times New Roman" w:eastAsia="Times New Roman" w:cs="Times New Roman"/>
                <w:kern w:val="0"/>
                <w:sz w:val="20"/>
                <w:szCs w:val="20"/>
                <w:highlight w:val="yellow"/>
                <w:lang w:val="en-US" w:eastAsia="zh-CN" w:bidi="ar"/>
              </w:rPr>
              <w:t>1320 ms</w:t>
            </w:r>
            <w:r>
              <w:rPr>
                <w:rFonts w:hint="default" w:ascii="Times New Roman" w:hAnsi="Times New Roman" w:eastAsia="Times New Roman" w:cs="Times New Roman"/>
                <w:kern w:val="0"/>
                <w:sz w:val="20"/>
                <w:szCs w:val="20"/>
                <w:lang w:val="en-US" w:eastAsia="zh-CN" w:bidi="ar"/>
              </w:rPr>
              <w:t xml:space="preserve"> is assumed in this test case.</w:t>
            </w:r>
          </w:p>
        </w:tc>
      </w:tr>
    </w:tbl>
    <w:p>
      <w:pPr>
        <w:spacing w:beforeLines="50" w:after="120"/>
        <w:rPr>
          <w:rFonts w:hint="eastAsia"/>
          <w:b w:val="0"/>
          <w:bCs w:val="0"/>
          <w:lang w:val="en-US" w:eastAsia="zh-CN"/>
        </w:rPr>
      </w:pPr>
      <w:r>
        <w:rPr>
          <w:rFonts w:hint="eastAsia"/>
          <w:b w:val="0"/>
          <w:bCs w:val="0"/>
          <w:lang w:val="en-US" w:eastAsia="zh-CN"/>
        </w:rPr>
        <w:t>We observe that the exact value in test requirements for legacy NTN on Tsi is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Lines="-2147483648" w:beforeAutospacing="0" w:after="180" w:afterAutospacing="0"/>
              <w:ind w:left="0" w:right="0"/>
              <w:rPr>
                <w:rFonts w:hint="eastAsia"/>
                <w:b w:val="0"/>
                <w:bCs w:val="0"/>
                <w:sz w:val="20"/>
                <w:szCs w:val="20"/>
                <w:vertAlign w:val="baseline"/>
                <w:lang w:val="en-US" w:eastAsia="zh-CN"/>
              </w:rPr>
            </w:pPr>
            <w:r>
              <w:rPr>
                <w:rFonts w:hint="eastAsia"/>
                <w:b w:val="0"/>
                <w:bCs w:val="0"/>
                <w:sz w:val="20"/>
                <w:szCs w:val="20"/>
                <w:vertAlign w:val="baseline"/>
                <w:lang w:val="en-US" w:eastAsia="zh-CN"/>
              </w:rPr>
              <w:t>Legacy TN test requirements for Tsi:</w:t>
            </w:r>
          </w:p>
          <w:p>
            <w:pPr>
              <w:keepNext w:val="0"/>
              <w:keepLines w:val="0"/>
              <w:widowControl/>
              <w:suppressLineNumbers w:val="0"/>
              <w:spacing w:before="0" w:beforeLines="50" w:beforeAutospacing="0" w:after="120" w:afterAutospacing="0"/>
              <w:ind w:left="0" w:right="0"/>
              <w:rPr>
                <w:rFonts w:hint="default"/>
                <w:b w:val="0"/>
                <w:bCs w:val="0"/>
                <w:sz w:val="20"/>
                <w:szCs w:val="20"/>
                <w:vertAlign w:val="baseline"/>
                <w:lang w:val="en-US" w:eastAsia="zh-CN"/>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SI-NR</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Maximum repetition period of relevant system info blocks that needs to be received by the UE to camp on a cell; </w:t>
            </w:r>
            <w:r>
              <w:rPr>
                <w:rFonts w:hint="default" w:ascii="Times New Roman" w:hAnsi="Times New Roman" w:eastAsia="Times New Roman" w:cs="Times New Roman"/>
                <w:kern w:val="0"/>
                <w:sz w:val="20"/>
                <w:szCs w:val="20"/>
                <w:highlight w:val="yellow"/>
                <w:lang w:val="en-US" w:eastAsia="zh-CN" w:bidi="ar"/>
              </w:rPr>
              <w:t>1280 ms</w:t>
            </w:r>
            <w:r>
              <w:rPr>
                <w:rFonts w:hint="default" w:ascii="Times New Roman" w:hAnsi="Times New Roman" w:eastAsia="Times New Roman" w:cs="Times New Roman"/>
                <w:kern w:val="0"/>
                <w:sz w:val="20"/>
                <w:szCs w:val="20"/>
                <w:lang w:val="en-US" w:eastAsia="zh-CN" w:bidi="ar"/>
              </w:rPr>
              <w:t xml:space="preserve"> is assumed in this test case provided that SIB1 and SIB19 are scheduled with 20 ms period and 80 ms period, respectively.</w:t>
            </w:r>
          </w:p>
        </w:tc>
      </w:tr>
    </w:tbl>
    <w:p>
      <w:pPr>
        <w:spacing w:beforeLines="50" w:after="120"/>
        <w:rPr>
          <w:rFonts w:hint="eastAsia"/>
          <w:b w:val="0"/>
          <w:bCs w:val="0"/>
          <w:lang w:val="en-US" w:eastAsia="zh-CN"/>
        </w:rPr>
      </w:pPr>
      <w:r>
        <w:rPr>
          <w:rFonts w:hint="eastAsia"/>
          <w:b w:val="0"/>
          <w:bCs w:val="0"/>
          <w:lang w:val="en-US" w:eastAsia="zh-CN"/>
        </w:rPr>
        <w:t>The same logic shall be considered when defining cell re-selection test requirements with less than 5M in NTN scenario.</w:t>
      </w:r>
    </w:p>
    <w:p>
      <w:pPr>
        <w:spacing w:beforeLines="50" w:after="120"/>
        <w:rPr>
          <w:rFonts w:hint="eastAsia"/>
          <w:b/>
          <w:bCs/>
          <w:lang w:val="en-US" w:eastAsia="zh-CN"/>
        </w:rPr>
      </w:pPr>
      <w:r>
        <w:rPr>
          <w:rFonts w:hint="eastAsia"/>
          <w:b/>
          <w:bCs/>
          <w:lang w:val="en-US" w:eastAsia="zh-CN"/>
        </w:rPr>
        <w:t>Observation 1: The legacy test requirements without less than 5MHz in TN scenario, the legacy delay as 1280ms is not enough to accommodate longer delay for SIB/MIB reading due to punctured PBCH.</w:t>
      </w:r>
    </w:p>
    <w:p>
      <w:pPr>
        <w:spacing w:beforeLines="50" w:after="120"/>
        <w:rPr>
          <w:rFonts w:hint="default" w:ascii="Times New Roman" w:hAnsi="Times New Roman" w:eastAsia="Times New Roman" w:cs="Times New Roman"/>
          <w:b/>
          <w:bCs/>
          <w:kern w:val="0"/>
          <w:sz w:val="20"/>
          <w:szCs w:val="20"/>
          <w:lang w:val="en-US" w:eastAsia="zh-CN" w:bidi="ar"/>
        </w:rPr>
      </w:pPr>
      <w:r>
        <w:rPr>
          <w:rFonts w:hint="eastAsia"/>
          <w:b/>
          <w:bCs/>
          <w:lang w:val="en-US" w:eastAsia="zh-CN"/>
        </w:rPr>
        <w:t xml:space="preserve">Observation 2: The legacy test requirements with less than 5MHz in TN scenario, </w:t>
      </w:r>
      <w:r>
        <w:rPr>
          <w:rFonts w:hint="default" w:ascii="Times New Roman" w:hAnsi="Times New Roman" w:eastAsia="Times New Roman" w:cs="Times New Roman"/>
          <w:b/>
          <w:bCs/>
          <w:kern w:val="0"/>
          <w:sz w:val="20"/>
          <w:szCs w:val="20"/>
          <w:lang w:val="en-US" w:eastAsia="zh-CN" w:bidi="ar"/>
        </w:rPr>
        <w:t>T</w:t>
      </w:r>
      <w:r>
        <w:rPr>
          <w:rFonts w:hint="default" w:ascii="Times New Roman" w:hAnsi="Times New Roman" w:eastAsia="Times New Roman" w:cs="Times New Roman"/>
          <w:b/>
          <w:bCs/>
          <w:kern w:val="0"/>
          <w:sz w:val="20"/>
          <w:szCs w:val="20"/>
          <w:vertAlign w:val="subscript"/>
          <w:lang w:val="en-US" w:eastAsia="zh-CN" w:bidi="ar"/>
        </w:rPr>
        <w:t>SI-NR</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 xml:space="preserve">Maximum repetition period of relevant system info blocks that needs to be received by the UE to camp on a cell; </w:t>
      </w:r>
      <w:r>
        <w:rPr>
          <w:rFonts w:hint="default" w:ascii="Times New Roman" w:hAnsi="Times New Roman" w:eastAsia="Times New Roman" w:cs="Times New Roman"/>
          <w:b/>
          <w:bCs/>
          <w:kern w:val="0"/>
          <w:sz w:val="20"/>
          <w:szCs w:val="20"/>
          <w:highlight w:val="yellow"/>
          <w:lang w:val="en-US" w:eastAsia="zh-CN" w:bidi="ar"/>
        </w:rPr>
        <w:t>1320 ms</w:t>
      </w:r>
      <w:r>
        <w:rPr>
          <w:rFonts w:hint="default" w:ascii="Times New Roman" w:hAnsi="Times New Roman" w:eastAsia="Times New Roman" w:cs="Times New Roman"/>
          <w:b/>
          <w:bCs/>
          <w:kern w:val="0"/>
          <w:sz w:val="20"/>
          <w:szCs w:val="20"/>
          <w:lang w:val="en-US" w:eastAsia="zh-CN" w:bidi="ar"/>
        </w:rPr>
        <w:t xml:space="preserve"> is assumed in this test case.</w:t>
      </w:r>
    </w:p>
    <w:p>
      <w:pPr>
        <w:spacing w:beforeLines="50" w:after="120"/>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1: RAN4 shall define the test case for cell re-selection requirements in NTN scenario with less than 5MHz.</w:t>
      </w:r>
    </w:p>
    <w:p>
      <w:pPr>
        <w:spacing w:beforeLines="50" w:after="120"/>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2: The concrete test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Lines="50" w:beforeAutospacing="0" w:after="120" w:afterAutospacing="0"/>
              <w:ind w:left="0" w:right="0"/>
              <w:rPr>
                <w:rFonts w:hint="default" w:cs="Times New Roman"/>
                <w:b/>
                <w:bCs/>
                <w:kern w:val="0"/>
                <w:sz w:val="20"/>
                <w:szCs w:val="20"/>
                <w:vertAlign w:val="baseline"/>
                <w:lang w:val="en-US" w:eastAsia="zh-CN" w:bidi="ar"/>
              </w:rPr>
            </w:pPr>
            <w:r>
              <w:rPr>
                <w:rFonts w:hint="default" w:ascii="Times New Roman" w:hAnsi="Times New Roman" w:eastAsia="Times New Roman" w:cs="Times New Roman"/>
                <w:b/>
                <w:bCs/>
                <w:kern w:val="0"/>
                <w:sz w:val="20"/>
                <w:szCs w:val="20"/>
                <w:lang w:val="en-US" w:eastAsia="zh-CN" w:bidi="ar"/>
              </w:rPr>
              <w:t>T</w:t>
            </w:r>
            <w:r>
              <w:rPr>
                <w:rFonts w:hint="default" w:ascii="Times New Roman" w:hAnsi="Times New Roman" w:eastAsia="Times New Roman" w:cs="Times New Roman"/>
                <w:b/>
                <w:bCs/>
                <w:kern w:val="0"/>
                <w:sz w:val="20"/>
                <w:szCs w:val="20"/>
                <w:vertAlign w:val="subscript"/>
                <w:lang w:val="en-US" w:eastAsia="zh-CN" w:bidi="ar"/>
              </w:rPr>
              <w:t>SI-NR</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 xml:space="preserve">Maximum repetition period of relevant system info blocks that needs to be received by the UE to camp on a cell; </w:t>
            </w:r>
            <w:r>
              <w:rPr>
                <w:rFonts w:hint="default" w:ascii="Times New Roman" w:hAnsi="Times New Roman" w:eastAsia="Times New Roman" w:cs="Times New Roman"/>
                <w:b/>
                <w:bCs/>
                <w:kern w:val="0"/>
                <w:sz w:val="20"/>
                <w:szCs w:val="20"/>
                <w:highlight w:val="yellow"/>
                <w:lang w:val="en-US" w:eastAsia="zh-CN" w:bidi="ar"/>
              </w:rPr>
              <w:t>1</w:t>
            </w:r>
            <w:r>
              <w:rPr>
                <w:rFonts w:hint="eastAsia" w:cs="Times New Roman"/>
                <w:b/>
                <w:bCs/>
                <w:kern w:val="0"/>
                <w:sz w:val="20"/>
                <w:szCs w:val="20"/>
                <w:highlight w:val="yellow"/>
                <w:lang w:val="en-US" w:eastAsia="zh-CN" w:bidi="ar"/>
              </w:rPr>
              <w:t>320</w:t>
            </w:r>
            <w:r>
              <w:rPr>
                <w:rFonts w:hint="default" w:ascii="Times New Roman" w:hAnsi="Times New Roman" w:eastAsia="Times New Roman" w:cs="Times New Roman"/>
                <w:b/>
                <w:bCs/>
                <w:kern w:val="0"/>
                <w:sz w:val="20"/>
                <w:szCs w:val="20"/>
                <w:highlight w:val="yellow"/>
                <w:lang w:val="en-US" w:eastAsia="zh-CN" w:bidi="ar"/>
              </w:rPr>
              <w:t xml:space="preserve"> ms</w:t>
            </w:r>
            <w:r>
              <w:rPr>
                <w:rFonts w:hint="default" w:ascii="Times New Roman" w:hAnsi="Times New Roman" w:eastAsia="Times New Roman" w:cs="Times New Roman"/>
                <w:b/>
                <w:bCs/>
                <w:kern w:val="0"/>
                <w:sz w:val="20"/>
                <w:szCs w:val="20"/>
                <w:lang w:val="en-US" w:eastAsia="zh-CN" w:bidi="ar"/>
              </w:rPr>
              <w:t xml:space="preserve"> is assumed in this test case provided that SIB1 and SIB19 are scheduled with 20 ms period and 80 ms period, respectively.</w:t>
            </w:r>
          </w:p>
        </w:tc>
      </w:tr>
    </w:tbl>
    <w:p>
      <w:pPr>
        <w:pStyle w:val="3"/>
        <w:spacing w:after="120"/>
        <w:rPr>
          <w:rFonts w:hint="default"/>
          <w:sz w:val="28"/>
          <w:szCs w:val="18"/>
          <w:lang w:val="en-US" w:eastAsia="zh-CN"/>
        </w:rPr>
      </w:pPr>
      <w:r>
        <w:rPr>
          <w:rFonts w:hint="eastAsia"/>
          <w:sz w:val="28"/>
          <w:szCs w:val="18"/>
          <w:lang w:val="en-US" w:eastAsia="zh-CN"/>
        </w:rPr>
        <w:t xml:space="preserve">Issue 2-2-3 Test cases to verify the new core requirements </w:t>
      </w:r>
    </w:p>
    <w:p>
      <w:pPr>
        <w:spacing w:beforeLines="50" w:after="120"/>
        <w:rPr>
          <w:rFonts w:hint="eastAsia" w:cs="Times New Roman"/>
          <w:kern w:val="0"/>
          <w:sz w:val="20"/>
          <w:szCs w:val="20"/>
          <w:lang w:val="en-US" w:eastAsia="zh-CN" w:bidi="ar"/>
        </w:rPr>
      </w:pPr>
      <w:r>
        <w:rPr>
          <w:rFonts w:hint="eastAsia" w:cs="Times New Roman"/>
          <w:kern w:val="0"/>
          <w:sz w:val="20"/>
          <w:szCs w:val="20"/>
          <w:lang w:val="en-US" w:eastAsia="zh-CN" w:bidi="ar"/>
        </w:rPr>
        <w:t>The following agreement could be seen: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3"/>
              <w:keepNext w:val="0"/>
              <w:keepLines w:val="0"/>
              <w:widowControl w:val="0"/>
              <w:numPr>
                <w:ilvl w:val="-1"/>
                <w:numId w:val="0"/>
              </w:numPr>
              <w:suppressLineNumbers w:val="0"/>
              <w:snapToGrid w:val="0"/>
              <w:spacing w:before="0" w:beforeAutospacing="0" w:after="120" w:afterAutospacing="0"/>
              <w:ind w:left="0" w:right="0" w:firstLine="0"/>
              <w:rPr>
                <w:rFonts w:hint="default"/>
                <w:iCs/>
                <w:sz w:val="21"/>
                <w:szCs w:val="21"/>
                <w:highlight w:val="green"/>
                <w:lang w:eastAsia="zh-CN"/>
              </w:rPr>
            </w:pPr>
            <w:r>
              <w:rPr>
                <w:rFonts w:hint="eastAsia"/>
                <w:iCs/>
                <w:sz w:val="21"/>
                <w:szCs w:val="21"/>
                <w:highlight w:val="green"/>
                <w:lang w:eastAsia="zh-CN"/>
              </w:rPr>
              <w:t>A</w:t>
            </w:r>
            <w:r>
              <w:rPr>
                <w:rFonts w:hint="default"/>
                <w:iCs/>
                <w:sz w:val="21"/>
                <w:szCs w:val="21"/>
                <w:highlight w:val="green"/>
                <w:lang w:eastAsia="zh-CN"/>
              </w:rPr>
              <w:t>greement:</w:t>
            </w:r>
          </w:p>
          <w:p>
            <w:pPr>
              <w:pStyle w:val="73"/>
              <w:keepNext w:val="0"/>
              <w:keepLines w:val="0"/>
              <w:widowControl w:val="0"/>
              <w:numPr>
                <w:ilvl w:val="0"/>
                <w:numId w:val="4"/>
              </w:numPr>
              <w:suppressLineNumbers w:val="0"/>
              <w:overflowPunct/>
              <w:autoSpaceDE/>
              <w:adjustRightInd/>
              <w:snapToGrid w:val="0"/>
              <w:spacing w:before="0" w:beforeAutospacing="0" w:after="120" w:afterAutospacing="0"/>
              <w:ind w:left="1228" w:right="0" w:firstLineChars="0"/>
              <w:textAlignment w:val="auto"/>
              <w:rPr>
                <w:rFonts w:hint="default"/>
                <w:iCs/>
                <w:szCs w:val="21"/>
                <w:highlight w:val="green"/>
              </w:rPr>
            </w:pPr>
            <w:r>
              <w:rPr>
                <w:rFonts w:hint="default"/>
                <w:iCs/>
                <w:szCs w:val="21"/>
                <w:highlight w:val="green"/>
              </w:rPr>
              <w:t>Define the new test cases for the core requirements for NTN less than 5MHz introduced in Rel19.e.g.</w:t>
            </w:r>
          </w:p>
          <w:p>
            <w:pPr>
              <w:pStyle w:val="73"/>
              <w:keepNext w:val="0"/>
              <w:keepLines w:val="0"/>
              <w:widowControl w:val="0"/>
              <w:numPr>
                <w:ilvl w:val="0"/>
                <w:numId w:val="4"/>
              </w:numPr>
              <w:suppressLineNumbers w:val="0"/>
              <w:snapToGrid w:val="0"/>
              <w:spacing w:before="0" w:beforeAutospacing="0" w:after="120" w:afterAutospacing="0"/>
              <w:ind w:left="1228" w:right="0" w:firstLineChars="0"/>
              <w:jc w:val="left"/>
              <w:rPr>
                <w:rFonts w:hint="default" w:eastAsia="宋体"/>
                <w:bCs/>
                <w:szCs w:val="21"/>
                <w:highlight w:val="green"/>
              </w:rPr>
            </w:pPr>
            <w:r>
              <w:rPr>
                <w:rFonts w:hint="default" w:eastAsia="宋体"/>
                <w:bCs/>
                <w:szCs w:val="21"/>
                <w:highlight w:val="green"/>
              </w:rPr>
              <w:t>HO-1: Intra-frequency HO, [unknown cell]</w:t>
            </w:r>
          </w:p>
          <w:p>
            <w:pPr>
              <w:pStyle w:val="73"/>
              <w:keepNext w:val="0"/>
              <w:keepLines w:val="0"/>
              <w:widowControl w:val="0"/>
              <w:numPr>
                <w:ilvl w:val="0"/>
                <w:numId w:val="4"/>
              </w:numPr>
              <w:suppressLineNumbers w:val="0"/>
              <w:snapToGrid w:val="0"/>
              <w:spacing w:before="0" w:beforeAutospacing="0" w:after="120" w:afterAutospacing="0"/>
              <w:ind w:left="1228" w:right="0" w:firstLineChars="0"/>
              <w:jc w:val="left"/>
              <w:rPr>
                <w:rFonts w:hint="default" w:eastAsia="宋体"/>
                <w:bCs/>
                <w:szCs w:val="21"/>
                <w:highlight w:val="green"/>
              </w:rPr>
            </w:pPr>
            <w:r>
              <w:rPr>
                <w:rFonts w:hint="default" w:eastAsia="宋体"/>
                <w:bCs/>
                <w:szCs w:val="21"/>
                <w:highlight w:val="green"/>
              </w:rPr>
              <w:t>CHO-1: [Inter-frequency CHO], time based with L3 measurement</w:t>
            </w:r>
          </w:p>
          <w:p>
            <w:pPr>
              <w:pStyle w:val="73"/>
              <w:keepNext w:val="0"/>
              <w:keepLines w:val="0"/>
              <w:widowControl w:val="0"/>
              <w:numPr>
                <w:ilvl w:val="0"/>
                <w:numId w:val="4"/>
              </w:numPr>
              <w:suppressLineNumbers w:val="0"/>
              <w:snapToGrid w:val="0"/>
              <w:spacing w:before="0" w:beforeAutospacing="0" w:after="120" w:afterAutospacing="0"/>
              <w:ind w:left="1228" w:right="0" w:firstLineChars="0"/>
              <w:jc w:val="left"/>
              <w:rPr>
                <w:rFonts w:hint="default" w:eastAsia="宋体"/>
                <w:bCs/>
                <w:szCs w:val="21"/>
                <w:highlight w:val="green"/>
              </w:rPr>
            </w:pPr>
            <w:r>
              <w:rPr>
                <w:rFonts w:hint="default" w:eastAsia="宋体"/>
                <w:bCs/>
                <w:szCs w:val="21"/>
                <w:highlight w:val="green"/>
              </w:rPr>
              <w:t xml:space="preserve">SatSwitch-1: Hard switch </w:t>
            </w:r>
          </w:p>
          <w:p>
            <w:pPr>
              <w:pStyle w:val="73"/>
              <w:keepNext w:val="0"/>
              <w:keepLines w:val="0"/>
              <w:widowControl w:val="0"/>
              <w:numPr>
                <w:ilvl w:val="0"/>
                <w:numId w:val="4"/>
              </w:numPr>
              <w:suppressLineNumbers w:val="0"/>
              <w:snapToGrid w:val="0"/>
              <w:spacing w:before="0" w:beforeAutospacing="0" w:after="120" w:afterAutospacing="0"/>
              <w:ind w:left="1228" w:right="0" w:firstLineChars="0"/>
              <w:jc w:val="left"/>
              <w:rPr>
                <w:rFonts w:hint="default" w:eastAsia="宋体"/>
                <w:bCs/>
                <w:szCs w:val="21"/>
                <w:highlight w:val="green"/>
              </w:rPr>
            </w:pPr>
            <w:r>
              <w:rPr>
                <w:rFonts w:hint="default" w:eastAsia="宋体"/>
                <w:bCs/>
                <w:szCs w:val="21"/>
                <w:highlight w:val="green"/>
              </w:rPr>
              <w:t>RLM-1: RLM OOS for 15RB</w:t>
            </w:r>
          </w:p>
          <w:p>
            <w:pPr>
              <w:pStyle w:val="73"/>
              <w:keepNext w:val="0"/>
              <w:keepLines w:val="0"/>
              <w:widowControl w:val="0"/>
              <w:numPr>
                <w:ilvl w:val="0"/>
                <w:numId w:val="4"/>
              </w:numPr>
              <w:suppressLineNumbers w:val="0"/>
              <w:snapToGrid w:val="0"/>
              <w:spacing w:before="0" w:beforeAutospacing="0" w:after="120" w:afterAutospacing="0"/>
              <w:ind w:left="1228" w:right="0" w:firstLineChars="0"/>
              <w:jc w:val="left"/>
              <w:rPr>
                <w:rFonts w:hint="default" w:eastAsia="宋体"/>
                <w:bCs/>
                <w:szCs w:val="21"/>
                <w:highlight w:val="green"/>
              </w:rPr>
            </w:pPr>
            <w:r>
              <w:rPr>
                <w:rFonts w:hint="default" w:eastAsia="宋体"/>
                <w:bCs/>
                <w:szCs w:val="21"/>
                <w:highlight w:val="green"/>
              </w:rPr>
              <w:t>RLM-2: RLM IS for 15RB</w:t>
            </w:r>
          </w:p>
          <w:p>
            <w:pPr>
              <w:pStyle w:val="73"/>
              <w:keepNext w:val="0"/>
              <w:keepLines w:val="0"/>
              <w:widowControl w:val="0"/>
              <w:numPr>
                <w:ilvl w:val="0"/>
                <w:numId w:val="4"/>
              </w:numPr>
              <w:suppressLineNumbers w:val="0"/>
              <w:snapToGrid w:val="0"/>
              <w:spacing w:before="0" w:beforeAutospacing="0" w:after="120" w:afterAutospacing="0"/>
              <w:ind w:left="1228" w:right="0" w:firstLineChars="0"/>
              <w:jc w:val="left"/>
              <w:rPr>
                <w:rFonts w:hint="default" w:eastAsia="宋体"/>
                <w:bCs/>
                <w:szCs w:val="21"/>
                <w:highlight w:val="green"/>
              </w:rPr>
            </w:pPr>
            <w:r>
              <w:rPr>
                <w:rFonts w:hint="default" w:eastAsia="宋体"/>
                <w:bCs/>
                <w:szCs w:val="21"/>
                <w:highlight w:val="green"/>
              </w:rPr>
              <w:t xml:space="preserve">BFR-1: BFR </w:t>
            </w:r>
          </w:p>
          <w:p>
            <w:pPr>
              <w:pStyle w:val="73"/>
              <w:keepNext w:val="0"/>
              <w:keepLines w:val="0"/>
              <w:widowControl w:val="0"/>
              <w:numPr>
                <w:ilvl w:val="0"/>
                <w:numId w:val="4"/>
              </w:numPr>
              <w:suppressLineNumbers w:val="0"/>
              <w:snapToGrid w:val="0"/>
              <w:spacing w:before="0" w:beforeAutospacing="0" w:after="120" w:afterAutospacing="0"/>
              <w:ind w:left="1228" w:right="0" w:firstLineChars="0"/>
              <w:jc w:val="left"/>
              <w:rPr>
                <w:rFonts w:hint="default" w:eastAsia="宋体"/>
                <w:bCs/>
                <w:szCs w:val="21"/>
                <w:highlight w:val="green"/>
              </w:rPr>
            </w:pPr>
            <w:r>
              <w:rPr>
                <w:rFonts w:hint="default" w:eastAsia="宋体"/>
                <w:bCs/>
                <w:szCs w:val="21"/>
                <w:highlight w:val="green"/>
              </w:rPr>
              <w:t xml:space="preserve">MR-1: Intra-frequency with SSB index reading </w:t>
            </w:r>
          </w:p>
          <w:p>
            <w:pPr>
              <w:pStyle w:val="73"/>
              <w:keepNext w:val="0"/>
              <w:keepLines w:val="0"/>
              <w:widowControl w:val="0"/>
              <w:numPr>
                <w:ilvl w:val="0"/>
                <w:numId w:val="4"/>
              </w:numPr>
              <w:suppressLineNumbers w:val="0"/>
              <w:snapToGrid w:val="0"/>
              <w:spacing w:before="0" w:beforeAutospacing="0" w:after="120" w:afterAutospacing="0"/>
              <w:ind w:left="1228" w:right="0" w:firstLineChars="0"/>
              <w:jc w:val="left"/>
              <w:rPr>
                <w:rFonts w:hint="default" w:eastAsia="宋体"/>
                <w:b/>
                <w:szCs w:val="21"/>
                <w:highlight w:val="green"/>
              </w:rPr>
            </w:pPr>
            <w:r>
              <w:rPr>
                <w:rFonts w:hint="default" w:eastAsia="宋体"/>
                <w:bCs/>
                <w:szCs w:val="21"/>
                <w:highlight w:val="green"/>
              </w:rPr>
              <w:t>[MR-2: Inter-frequency without SSB index reading]</w:t>
            </w:r>
          </w:p>
          <w:p>
            <w:pPr>
              <w:pStyle w:val="73"/>
              <w:keepNext w:val="0"/>
              <w:keepLines w:val="0"/>
              <w:widowControl w:val="0"/>
              <w:numPr>
                <w:ilvl w:val="0"/>
                <w:numId w:val="4"/>
              </w:numPr>
              <w:suppressLineNumbers w:val="0"/>
              <w:snapToGrid w:val="0"/>
              <w:spacing w:before="0" w:beforeAutospacing="0" w:afterAutospacing="0"/>
              <w:ind w:left="1228" w:right="0"/>
              <w:rPr>
                <w:rFonts w:hint="default" w:cs="Times New Roman"/>
                <w:kern w:val="0"/>
                <w:sz w:val="20"/>
                <w:szCs w:val="20"/>
                <w:vertAlign w:val="baseline"/>
                <w:lang w:val="en-US" w:eastAsia="zh-CN" w:bidi="ar"/>
              </w:rPr>
            </w:pPr>
            <w:r>
              <w:rPr>
                <w:rFonts w:hint="default"/>
                <w:iCs/>
                <w:szCs w:val="21"/>
                <w:highlight w:val="green"/>
              </w:rPr>
              <w:t xml:space="preserve">FFS the detailed configuration for each test case </w:t>
            </w:r>
          </w:p>
        </w:tc>
      </w:tr>
    </w:tbl>
    <w:p>
      <w:pPr>
        <w:spacing w:beforeLines="50" w:after="120"/>
        <w:jc w:val="both"/>
        <w:rPr>
          <w:rFonts w:hint="default" w:cs="Times New Roman"/>
          <w:kern w:val="0"/>
          <w:sz w:val="20"/>
          <w:szCs w:val="20"/>
          <w:lang w:val="en-US" w:eastAsia="zh-CN" w:bidi="ar"/>
        </w:rPr>
      </w:pPr>
      <w:r>
        <w:rPr>
          <w:rFonts w:hint="eastAsia" w:cs="Times New Roman"/>
          <w:kern w:val="0"/>
          <w:sz w:val="20"/>
          <w:szCs w:val="20"/>
          <w:lang w:val="en-US" w:eastAsia="zh-CN" w:bidi="ar"/>
        </w:rPr>
        <w:t>For test cases on handover in NTN scenario, we observe that intra-/inter- frequency measurements with known cell are tested. We deem that HO-1 is the legacy test case in TH with less than 5MHz which can be reused, however, the inter-frequency handover with unknown cell shall be considered. To our understanding, we would like to supplement the primary cases including intra-frequency handover with unknown cell and inter-frequency handover with unknown cell in NTN scenario.</w:t>
      </w:r>
    </w:p>
    <w:p>
      <w:pPr>
        <w:spacing w:beforeLines="50" w:after="120"/>
        <w:rPr>
          <w:rFonts w:hint="eastAsia" w:cs="Times New Roman"/>
          <w:kern w:val="0"/>
          <w:sz w:val="20"/>
          <w:szCs w:val="20"/>
          <w:lang w:val="en-US" w:eastAsia="zh-CN" w:bidi="ar"/>
        </w:rPr>
      </w:pPr>
      <w:r>
        <w:rPr>
          <w:rFonts w:hint="eastAsia" w:cs="Times New Roman"/>
          <w:kern w:val="0"/>
          <w:sz w:val="20"/>
          <w:szCs w:val="20"/>
          <w:lang w:val="en-US" w:eastAsia="zh-CN" w:bidi="ar"/>
        </w:rPr>
        <w:t>Consequently, for handover, the following test cases shall be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Lines="50" w:beforeAutospacing="0" w:after="120" w:afterAutospacing="0"/>
              <w:ind w:left="0" w:right="0"/>
              <w:rPr>
                <w:rFonts w:hint="eastAsia"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HO-1: Intra-frequency HO including RACH-based HO, unknown cell</w:t>
            </w:r>
          </w:p>
          <w:p>
            <w:pPr>
              <w:keepNext w:val="0"/>
              <w:keepLines w:val="0"/>
              <w:widowControl/>
              <w:suppressLineNumbers w:val="0"/>
              <w:spacing w:before="0" w:beforeLines="50" w:beforeAutospacing="0" w:after="120" w:afterAutospacing="0"/>
              <w:ind w:left="0" w:right="0"/>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HO-2: Inter-frequency HO including RACH-based HO, unknown cell</w:t>
            </w:r>
          </w:p>
        </w:tc>
      </w:tr>
    </w:tbl>
    <w:p>
      <w:pPr>
        <w:spacing w:beforeLines="50" w:after="120"/>
        <w:jc w:val="both"/>
        <w:rPr>
          <w:rFonts w:hint="eastAsia" w:cs="Times New Roman"/>
          <w:kern w:val="0"/>
          <w:sz w:val="20"/>
          <w:szCs w:val="20"/>
          <w:lang w:val="en-US" w:eastAsia="zh-CN" w:bidi="ar"/>
        </w:rPr>
      </w:pPr>
      <w:r>
        <w:rPr>
          <w:rFonts w:hint="eastAsia" w:cs="Times New Roman"/>
          <w:kern w:val="0"/>
          <w:sz w:val="20"/>
          <w:szCs w:val="20"/>
          <w:lang w:val="en-US" w:eastAsia="zh-CN" w:bidi="ar"/>
        </w:rPr>
        <w:t>Yet there are two kinds of handover including RACH-based handover and RACH-less handover, we suggest not to test every case since we know that the Tsearch and Tdelta is the same defined in core requirements. Thus, we propose to choose one of them to define the related test cases. The test configuration can be seen as below:</w:t>
      </w:r>
    </w:p>
    <w:tbl>
      <w:tblPr>
        <w:tblStyle w:val="30"/>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220"/>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Configuration</w:t>
            </w:r>
          </w:p>
        </w:tc>
        <w:tc>
          <w:tcPr>
            <w:tcW w:w="5517"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1</w:t>
            </w:r>
          </w:p>
        </w:tc>
        <w:tc>
          <w:tcPr>
            <w:tcW w:w="5517"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 xml:space="preserve">GSO, NR FDD, 15 kHz SSB SCS, </w:t>
            </w:r>
            <w:r>
              <w:rPr>
                <w:rFonts w:hint="eastAsia" w:ascii="Arial" w:hAnsi="Arial" w:eastAsia="Times New Roman" w:cs="Times New Roman"/>
                <w:kern w:val="0"/>
                <w:sz w:val="18"/>
                <w:szCs w:val="20"/>
                <w:lang w:val="en-US" w:eastAsia="zh-CN" w:bidi="ar"/>
              </w:rPr>
              <w:t>3</w:t>
            </w:r>
            <w:r>
              <w:rPr>
                <w:rFonts w:hint="default" w:ascii="Arial" w:hAnsi="Arial" w:eastAsia="Times New Roman" w:cs="Times New Roman"/>
                <w:kern w:val="0"/>
                <w:sz w:val="18"/>
                <w:szCs w:val="20"/>
                <w:lang w:val="en-US" w:eastAsia="zh-CN" w:bidi="ar"/>
              </w:rPr>
              <w:t xml:space="preserve"> MHz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szCs w:val="20"/>
                <w:lang w:val="en-US"/>
              </w:rPr>
            </w:pPr>
            <w:r>
              <w:rPr>
                <w:rFonts w:hint="default" w:ascii="Arial" w:hAnsi="Arial" w:eastAsia="Times New Roman" w:cs="Times New Roman"/>
                <w:kern w:val="0"/>
                <w:sz w:val="18"/>
                <w:szCs w:val="20"/>
                <w:lang w:val="en-US" w:eastAsia="zh-CN" w:bidi="ar"/>
              </w:rPr>
              <w:t>2</w:t>
            </w:r>
          </w:p>
        </w:tc>
        <w:tc>
          <w:tcPr>
            <w:tcW w:w="5517"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szCs w:val="20"/>
                <w:lang w:val="en-US"/>
              </w:rPr>
            </w:pPr>
            <w:r>
              <w:rPr>
                <w:rFonts w:hint="default" w:ascii="Arial" w:hAnsi="Arial" w:eastAsia="Times New Roman" w:cs="Times New Roman"/>
                <w:kern w:val="0"/>
                <w:sz w:val="18"/>
                <w:szCs w:val="20"/>
                <w:lang w:val="en-US" w:eastAsia="zh-CN" w:bidi="ar"/>
              </w:rPr>
              <w:t xml:space="preserve">NGSO, NR FDD, 15 kHz SSB SCS, </w:t>
            </w:r>
            <w:r>
              <w:rPr>
                <w:rFonts w:hint="eastAsia" w:ascii="Arial" w:hAnsi="Arial" w:eastAsia="Times New Roman" w:cs="Times New Roman"/>
                <w:kern w:val="0"/>
                <w:sz w:val="18"/>
                <w:szCs w:val="20"/>
                <w:lang w:val="en-US" w:eastAsia="zh-CN" w:bidi="ar"/>
              </w:rPr>
              <w:t>3</w:t>
            </w:r>
            <w:r>
              <w:rPr>
                <w:rFonts w:hint="default" w:ascii="Arial" w:hAnsi="Arial" w:eastAsia="Times New Roman" w:cs="Times New Roman"/>
                <w:kern w:val="0"/>
                <w:sz w:val="18"/>
                <w:szCs w:val="20"/>
                <w:lang w:val="en-US" w:eastAsia="zh-CN" w:bidi="ar"/>
              </w:rPr>
              <w:t xml:space="preserve"> MHz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703"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szCs w:val="20"/>
                <w:lang w:val="en-US" w:eastAsia="zh-CN"/>
              </w:rPr>
            </w:pPr>
            <w:r>
              <w:rPr>
                <w:rFonts w:hint="default" w:ascii="Arial" w:hAnsi="Arial" w:eastAsia="Times New Roman" w:cs="Times New Roman"/>
                <w:kern w:val="0"/>
                <w:sz w:val="18"/>
                <w:szCs w:val="20"/>
                <w:lang w:val="en-US" w:eastAsia="zh-TW" w:bidi="ar"/>
              </w:rPr>
              <w:t>NOTE:</w:t>
            </w:r>
            <w:r>
              <w:rPr>
                <w:rFonts w:hint="default" w:ascii="Arial" w:hAnsi="Arial" w:eastAsia="Times New Roman" w:cs="Times New Roman"/>
                <w:kern w:val="0"/>
                <w:sz w:val="18"/>
                <w:szCs w:val="20"/>
                <w:lang w:val="en-US" w:eastAsia="ko" w:bidi="ar"/>
              </w:rPr>
              <w:tab/>
            </w:r>
            <w:r>
              <w:rPr>
                <w:rFonts w:hint="default" w:ascii="Arial" w:hAnsi="Arial" w:eastAsia="Times New Roman" w:cs="Times New Roman"/>
                <w:kern w:val="0"/>
                <w:sz w:val="18"/>
                <w:szCs w:val="20"/>
                <w:lang w:val="en-US" w:eastAsia="ko" w:bidi="ar"/>
              </w:rPr>
              <w:t>If UE supports both NGSO and GSO, the GSO-based test cases can be skipped if the UE passes NGSO-based test cases.</w:t>
            </w:r>
            <w:r>
              <w:rPr>
                <w:rFonts w:hint="default" w:ascii="Arial" w:hAnsi="Arial" w:eastAsia="Times New Roman" w:cs="Times New Roman"/>
                <w:kern w:val="0"/>
                <w:sz w:val="18"/>
                <w:szCs w:val="20"/>
                <w:lang w:val="en-US" w:eastAsia="zh-TW" w:bidi="ar"/>
              </w:rPr>
              <w:t xml:space="preserve"> </w:t>
            </w:r>
          </w:p>
        </w:tc>
      </w:tr>
    </w:tbl>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Observation 3: For test cases on handover in NTN scenario, intra-/inter- frequency measurements with known cell are tested.</w:t>
      </w:r>
    </w:p>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Observation 4: The Tsearch and Tdelta is same between RACH-based and RACH-less handover.</w:t>
      </w:r>
    </w:p>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3: For handover in NTN scenario, the following test cases shall be considered:</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240" w:type="dxa"/>
          </w:tcPr>
          <w:p>
            <w:pPr>
              <w:keepNext w:val="0"/>
              <w:keepLines w:val="0"/>
              <w:widowControl/>
              <w:suppressLineNumbers w:val="0"/>
              <w:spacing w:before="0" w:beforeLines="50" w:beforeAutospacing="0" w:after="120" w:afterAutospacing="0"/>
              <w:ind w:left="0" w:right="0"/>
              <w:rPr>
                <w:rFonts w:hint="eastAsia"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HO-1: Intra-frequency HO including RACH-based HO, unknown cell</w:t>
            </w:r>
          </w:p>
          <w:p>
            <w:pPr>
              <w:keepNext w:val="0"/>
              <w:keepLines w:val="0"/>
              <w:widowControl/>
              <w:suppressLineNumbers w:val="0"/>
              <w:spacing w:before="0" w:beforeLines="50" w:beforeAutospacing="0" w:after="120" w:afterAutospacing="0"/>
              <w:ind w:left="0" w:right="0"/>
              <w:rPr>
                <w:rFonts w:hint="default"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HO-2: Inter-frequency HO including RACH-based HO, unknown cell</w:t>
            </w:r>
          </w:p>
        </w:tc>
      </w:tr>
    </w:tbl>
    <w:p>
      <w:pPr>
        <w:spacing w:beforeLines="50" w:after="120"/>
        <w:jc w:val="both"/>
        <w:rPr>
          <w:rFonts w:hint="eastAsia" w:cs="Times New Roman"/>
          <w:kern w:val="0"/>
          <w:sz w:val="20"/>
          <w:szCs w:val="20"/>
          <w:lang w:val="en-US" w:eastAsia="zh-CN" w:bidi="ar"/>
        </w:rPr>
      </w:pPr>
      <w:r>
        <w:rPr>
          <w:rFonts w:hint="eastAsia" w:cs="Times New Roman"/>
          <w:kern w:val="0"/>
          <w:sz w:val="20"/>
          <w:szCs w:val="20"/>
          <w:lang w:val="en-US" w:eastAsia="zh-CN" w:bidi="ar"/>
        </w:rPr>
        <w:t xml:space="preserve">For conditional handover in NTN scenario, we observe that test cases are defined for time based CHO with L3 measurement, distance based CHO with L3 measurement and time based CHO without L3 measurement for intra-/inter-frequency. we propose to choose the time-based CHO with L3 measurement for intra-frequency and distance-based CHO with L3 measurement inter-frequency for less than 5MHz to cover all cases. </w:t>
      </w:r>
    </w:p>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4: For CHO in NTN scenario, the following test cases shall be considered:</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240" w:type="dxa"/>
          </w:tcPr>
          <w:p>
            <w:pPr>
              <w:keepNext w:val="0"/>
              <w:keepLines w:val="0"/>
              <w:widowControl/>
              <w:suppressLineNumbers w:val="0"/>
              <w:spacing w:before="0" w:beforeLines="50" w:beforeAutospacing="0" w:after="120" w:afterAutospacing="0"/>
              <w:ind w:left="0" w:right="0"/>
              <w:jc w:val="both"/>
              <w:rPr>
                <w:rFonts w:hint="default"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CHO-1: Intra-frequency CHO , time based with L3 measurement</w:t>
            </w:r>
          </w:p>
          <w:p>
            <w:pPr>
              <w:keepNext w:val="0"/>
              <w:keepLines w:val="0"/>
              <w:widowControl/>
              <w:suppressLineNumbers w:val="0"/>
              <w:spacing w:before="0" w:beforeLines="50" w:beforeAutospacing="0" w:after="120" w:afterAutospacing="0"/>
              <w:ind w:left="0" w:right="0"/>
              <w:rPr>
                <w:rFonts w:hint="default"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CHO-2: Inter-frequency CHO , distance based with L3 measurement</w:t>
            </w:r>
          </w:p>
        </w:tc>
      </w:tr>
    </w:tbl>
    <w:p>
      <w:pPr>
        <w:spacing w:beforeLines="50" w:after="120"/>
        <w:jc w:val="both"/>
        <w:rPr>
          <w:rFonts w:hint="eastAsia" w:cs="Times New Roman"/>
          <w:kern w:val="0"/>
          <w:sz w:val="20"/>
          <w:szCs w:val="20"/>
          <w:lang w:val="en-US" w:eastAsia="zh-CN" w:bidi="ar"/>
        </w:rPr>
      </w:pPr>
      <w:r>
        <w:rPr>
          <w:rFonts w:hint="eastAsia" w:cs="Times New Roman"/>
          <w:kern w:val="0"/>
          <w:sz w:val="20"/>
          <w:szCs w:val="20"/>
          <w:lang w:val="en-US" w:eastAsia="zh-CN" w:bidi="ar"/>
        </w:rPr>
        <w:t>For satellite switch in NTN, test cases are defined for hard satellite switch and soft satellite switch. In legacy one UE capability has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b/>
                <w:bCs/>
                <w:i/>
                <w:iCs/>
                <w:sz w:val="20"/>
                <w:szCs w:val="20"/>
                <w:lang w:val="en-US"/>
              </w:rPr>
            </w:pPr>
            <w:r>
              <w:rPr>
                <w:rFonts w:hint="default" w:ascii="Arial" w:hAnsi="Arial" w:eastAsia="Times New Roman" w:cs="Times New Roman"/>
                <w:b/>
                <w:bCs/>
                <w:i/>
                <w:iCs/>
                <w:kern w:val="0"/>
                <w:sz w:val="18"/>
                <w:szCs w:val="20"/>
                <w:lang w:val="en-US" w:eastAsia="zh-CN" w:bidi="ar"/>
              </w:rPr>
              <w:t>softSatelliteSwitchResyncNTN-r18</w:t>
            </w:r>
          </w:p>
          <w:p>
            <w:pPr>
              <w:keepNext w:val="0"/>
              <w:keepLines w:val="0"/>
              <w:widowControl/>
              <w:suppressLineNumbers w:val="0"/>
              <w:spacing w:before="0" w:beforeAutospacing="0" w:afterAutospacing="0"/>
              <w:ind w:left="0" w:right="0"/>
              <w:rPr>
                <w:rFonts w:hint="default"/>
                <w:sz w:val="20"/>
                <w:szCs w:val="20"/>
                <w:lang w:val="en-US"/>
              </w:rPr>
            </w:pPr>
            <w:r>
              <w:rPr>
                <w:rFonts w:hint="default" w:ascii="Arial" w:hAnsi="Arial" w:eastAsia="Times New Roman" w:cs="Times New Roman"/>
                <w:kern w:val="0"/>
                <w:sz w:val="18"/>
                <w:szCs w:val="20"/>
                <w:lang w:val="en-US" w:eastAsia="zh-CN" w:bidi="ar"/>
              </w:rPr>
              <w:t>Indicates whether UE supports soft satellite switch with re-sync, as specified in TS 38.331 [9].</w:t>
            </w:r>
          </w:p>
          <w:p>
            <w:pPr>
              <w:keepNext w:val="0"/>
              <w:keepLines w:val="0"/>
              <w:widowControl/>
              <w:suppressLineNumbers w:val="0"/>
              <w:spacing w:before="0" w:beforeLines="-2147483648" w:beforeAutospacing="0" w:after="0" w:afterAutospacing="0"/>
              <w:ind w:left="0" w:right="0"/>
              <w:jc w:val="left"/>
              <w:rPr>
                <w:rFonts w:hint="default" w:cs="Times New Roman"/>
                <w:kern w:val="0"/>
                <w:sz w:val="20"/>
                <w:szCs w:val="20"/>
                <w:vertAlign w:val="baseline"/>
                <w:lang w:val="en-US" w:eastAsia="zh-CN" w:bidi="ar"/>
              </w:rPr>
            </w:pPr>
            <w:r>
              <w:rPr>
                <w:rFonts w:hint="default" w:ascii="Times New Roman" w:hAnsi="Times New Roman" w:eastAsia="Times New Roman" w:cs="Times New Roman"/>
                <w:kern w:val="0"/>
                <w:sz w:val="20"/>
                <w:szCs w:val="20"/>
                <w:lang w:val="en-US" w:eastAsia="zh-CN" w:bidi="ar"/>
              </w:rPr>
              <w:t xml:space="preserve">A UE supporting this feature shall also indicate support of </w:t>
            </w:r>
            <w:r>
              <w:rPr>
                <w:rFonts w:hint="default" w:ascii="Times New Roman" w:hAnsi="Times New Roman" w:eastAsia="Times New Roman" w:cs="Times New Roman"/>
                <w:i/>
                <w:iCs/>
                <w:kern w:val="0"/>
                <w:sz w:val="20"/>
                <w:szCs w:val="20"/>
                <w:lang w:val="en-US" w:eastAsia="zh-CN" w:bidi="ar"/>
              </w:rPr>
              <w:t>hardSatelliteSwitchResyncNTN-r18.</w:t>
            </w:r>
          </w:p>
        </w:tc>
      </w:tr>
    </w:tbl>
    <w:p>
      <w:pPr>
        <w:spacing w:beforeLines="50" w:after="120"/>
        <w:jc w:val="both"/>
        <w:rPr>
          <w:rFonts w:hint="eastAsia" w:cs="Times New Roman"/>
          <w:kern w:val="0"/>
          <w:sz w:val="20"/>
          <w:szCs w:val="20"/>
          <w:lang w:val="en-US" w:eastAsia="zh-CN" w:bidi="ar"/>
        </w:rPr>
      </w:pPr>
      <w:r>
        <w:rPr>
          <w:rFonts w:hint="eastAsia" w:cs="Times New Roman"/>
          <w:kern w:val="0"/>
          <w:sz w:val="20"/>
          <w:szCs w:val="20"/>
          <w:lang w:val="en-US" w:eastAsia="zh-CN" w:bidi="ar"/>
        </w:rPr>
        <w:t>Based on above UE capability, UE supporting soft switch will also support hard satellite switch. Consequently, we prefer to consider soft satellite switch which can cover hard satellite switch.</w:t>
      </w:r>
    </w:p>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5: For satellite switch, the following test cases shall be considered:</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9" w:hRule="atLeast"/>
          <w:jc w:val="center"/>
        </w:trPr>
        <w:tc>
          <w:tcPr>
            <w:tcW w:w="6540" w:type="dxa"/>
          </w:tcPr>
          <w:p>
            <w:pPr>
              <w:keepNext w:val="0"/>
              <w:keepLines w:val="0"/>
              <w:widowControl/>
              <w:suppressLineNumbers w:val="0"/>
              <w:tabs>
                <w:tab w:val="center" w:pos="3512"/>
              </w:tabs>
              <w:spacing w:before="0" w:beforeLines="50" w:beforeAutospacing="0" w:after="0" w:afterAutospacing="0"/>
              <w:ind w:left="0" w:right="0"/>
              <w:jc w:val="both"/>
              <w:rPr>
                <w:rFonts w:hint="default"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SatSwitch-1: Soft satellite switch</w:t>
            </w:r>
          </w:p>
        </w:tc>
      </w:tr>
    </w:tbl>
    <w:p>
      <w:pPr>
        <w:spacing w:beforeLines="50" w:after="120"/>
        <w:jc w:val="both"/>
        <w:rPr>
          <w:rFonts w:hint="eastAsia" w:cs="Times New Roman"/>
          <w:kern w:val="0"/>
          <w:sz w:val="20"/>
          <w:szCs w:val="20"/>
          <w:lang w:val="en-US" w:eastAsia="zh-CN" w:bidi="ar"/>
        </w:rPr>
      </w:pPr>
      <w:r>
        <w:rPr>
          <w:rFonts w:hint="eastAsia" w:cs="Times New Roman"/>
          <w:kern w:val="0"/>
          <w:sz w:val="20"/>
          <w:szCs w:val="20"/>
          <w:lang w:val="en-US" w:eastAsia="zh-CN" w:bidi="ar"/>
        </w:rPr>
        <w:t>For RLM, only 15PRB is considered. We prefer to consider RLM OOS and IS with DRX for 15PRB, since this case could cover the case without DRX configuration.</w:t>
      </w:r>
    </w:p>
    <w:p>
      <w:pPr>
        <w:spacing w:beforeLines="50" w:after="120"/>
        <w:jc w:val="both"/>
        <w:rPr>
          <w:rFonts w:hint="default" w:cs="Times New Roman"/>
          <w:kern w:val="0"/>
          <w:sz w:val="20"/>
          <w:szCs w:val="20"/>
          <w:lang w:val="en-US" w:eastAsia="zh-CN" w:bidi="ar"/>
        </w:rPr>
      </w:pPr>
      <w:r>
        <w:rPr>
          <w:rFonts w:hint="eastAsia" w:cs="Times New Roman"/>
          <w:kern w:val="0"/>
          <w:sz w:val="20"/>
          <w:szCs w:val="20"/>
          <w:lang w:val="en-US" w:eastAsia="zh-CN" w:bidi="ar"/>
        </w:rPr>
        <w:t>For BFR, we could follow legacy test cases.</w:t>
      </w:r>
    </w:p>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6: For RLM and BFR, the following test cases shall be considered:</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7420" w:type="dxa"/>
          </w:tcPr>
          <w:p>
            <w:pPr>
              <w:keepNext w:val="0"/>
              <w:keepLines w:val="0"/>
              <w:widowControl/>
              <w:suppressLineNumbers w:val="0"/>
              <w:spacing w:before="0" w:beforeLines="50" w:beforeAutospacing="0" w:after="120" w:afterAutospacing="0"/>
              <w:ind w:left="0" w:right="0"/>
              <w:jc w:val="both"/>
              <w:rPr>
                <w:rFonts w:hint="eastAsia"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RLM-1: RLM OOS with DRX for 15PRB</w:t>
            </w:r>
          </w:p>
          <w:p>
            <w:pPr>
              <w:keepNext w:val="0"/>
              <w:keepLines w:val="0"/>
              <w:widowControl/>
              <w:suppressLineNumbers w:val="0"/>
              <w:spacing w:before="0" w:beforeLines="50" w:beforeAutospacing="0" w:after="120" w:afterAutospacing="0"/>
              <w:ind w:left="0" w:right="0"/>
              <w:jc w:val="both"/>
              <w:rPr>
                <w:rFonts w:hint="eastAsia"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RLM-2: RLM IS with DRX for 15PRB</w:t>
            </w:r>
          </w:p>
          <w:p>
            <w:pPr>
              <w:keepNext w:val="0"/>
              <w:keepLines w:val="0"/>
              <w:widowControl/>
              <w:suppressLineNumbers w:val="0"/>
              <w:spacing w:before="0" w:beforeLines="50" w:beforeAutospacing="0" w:after="120" w:afterAutospacing="0"/>
              <w:ind w:left="0" w:right="0"/>
              <w:jc w:val="both"/>
              <w:rPr>
                <w:rFonts w:hint="default" w:cs="Times New Roman"/>
                <w:kern w:val="0"/>
                <w:sz w:val="20"/>
                <w:szCs w:val="20"/>
                <w:vertAlign w:val="baseline"/>
                <w:lang w:val="en-US" w:eastAsia="zh-CN" w:bidi="ar"/>
              </w:rPr>
            </w:pPr>
            <w:r>
              <w:rPr>
                <w:rFonts w:hint="eastAsia" w:cs="Times New Roman"/>
                <w:b/>
                <w:bCs/>
                <w:kern w:val="0"/>
                <w:sz w:val="20"/>
                <w:szCs w:val="20"/>
                <w:vertAlign w:val="baseline"/>
                <w:lang w:val="en-US" w:eastAsia="zh-CN" w:bidi="ar"/>
              </w:rPr>
              <w:t>BFR without DRX</w:t>
            </w:r>
          </w:p>
        </w:tc>
      </w:tr>
    </w:tbl>
    <w:p>
      <w:pPr>
        <w:spacing w:beforeLines="50" w:after="120"/>
        <w:jc w:val="both"/>
        <w:rPr>
          <w:rFonts w:hint="default" w:cs="Times New Roman"/>
          <w:b/>
          <w:bCs/>
          <w:kern w:val="0"/>
          <w:sz w:val="20"/>
          <w:szCs w:val="20"/>
          <w:lang w:val="en-US" w:eastAsia="zh-CN" w:bidi="ar"/>
        </w:rPr>
      </w:pPr>
      <w:r>
        <w:rPr>
          <w:rFonts w:hint="eastAsia" w:cs="Times New Roman"/>
          <w:b/>
          <w:bCs/>
          <w:kern w:val="0"/>
          <w:sz w:val="20"/>
          <w:szCs w:val="20"/>
          <w:lang w:val="en-US" w:eastAsia="zh-CN" w:bidi="ar"/>
        </w:rPr>
        <w:t>Proposal 7: For measurement, the legacy test cases could be used as follows:</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7420" w:type="dxa"/>
          </w:tcPr>
          <w:p>
            <w:pPr>
              <w:pStyle w:val="73"/>
              <w:keepNext w:val="0"/>
              <w:keepLines w:val="0"/>
              <w:widowControl/>
              <w:numPr>
                <w:ilvl w:val="-1"/>
                <w:numId w:val="0"/>
              </w:numPr>
              <w:suppressLineNumbers w:val="0"/>
              <w:overflowPunct w:val="0"/>
              <w:autoSpaceDE w:val="0"/>
              <w:autoSpaceDN w:val="0"/>
              <w:adjustRightInd w:val="0"/>
              <w:spacing w:before="120" w:beforeLines="0" w:beforeAutospacing="0" w:after="120" w:afterLines="0" w:afterAutospacing="0"/>
              <w:ind w:left="0" w:right="0" w:firstLine="0"/>
              <w:textAlignment w:val="baseline"/>
              <w:rPr>
                <w:rFonts w:hint="default" w:eastAsia="宋体"/>
                <w:b/>
                <w:bCs/>
                <w:lang w:eastAsia="zh-CN"/>
              </w:rPr>
            </w:pPr>
            <w:r>
              <w:rPr>
                <w:rFonts w:hint="default" w:eastAsia="宋体"/>
                <w:b/>
                <w:bCs/>
                <w:lang w:eastAsia="zh-CN"/>
              </w:rPr>
              <w:t>Intra-frequency L3 measurement with SSB index reading without DRX</w:t>
            </w:r>
          </w:p>
          <w:p>
            <w:pPr>
              <w:pStyle w:val="73"/>
              <w:keepNext w:val="0"/>
              <w:keepLines w:val="0"/>
              <w:widowControl/>
              <w:numPr>
                <w:ilvl w:val="-1"/>
                <w:numId w:val="0"/>
              </w:numPr>
              <w:suppressLineNumbers w:val="0"/>
              <w:overflowPunct w:val="0"/>
              <w:autoSpaceDE w:val="0"/>
              <w:autoSpaceDN w:val="0"/>
              <w:adjustRightInd w:val="0"/>
              <w:spacing w:before="120" w:beforeLines="0" w:beforeAutospacing="0" w:afterLines="0" w:afterAutospacing="0"/>
              <w:ind w:left="0" w:right="0" w:firstLine="0"/>
              <w:textAlignment w:val="baseline"/>
              <w:rPr>
                <w:rFonts w:hint="default" w:cs="Times New Roman"/>
                <w:kern w:val="0"/>
                <w:sz w:val="20"/>
                <w:szCs w:val="20"/>
                <w:vertAlign w:val="baseline"/>
                <w:lang w:val="en-US" w:eastAsia="zh-CN" w:bidi="ar"/>
              </w:rPr>
            </w:pPr>
            <w:r>
              <w:rPr>
                <w:rFonts w:hint="default" w:eastAsia="宋体"/>
                <w:b/>
                <w:bCs/>
                <w:lang w:eastAsia="zh-CN"/>
              </w:rPr>
              <w:t>Inter-frequency L3 measurement without SSB index reading with DRX</w:t>
            </w:r>
          </w:p>
        </w:tc>
      </w:tr>
    </w:tbl>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8: The test configuration can be seen as below:</w:t>
      </w:r>
    </w:p>
    <w:tbl>
      <w:tblPr>
        <w:tblStyle w:val="30"/>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220"/>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b/>
                <w:bCs/>
                <w:szCs w:val="20"/>
                <w:lang w:val="en-US"/>
              </w:rPr>
            </w:pPr>
            <w:r>
              <w:rPr>
                <w:rFonts w:hint="default" w:ascii="Arial" w:hAnsi="Arial" w:eastAsia="Times New Roman" w:cs="Times New Roman"/>
                <w:b/>
                <w:bCs/>
                <w:kern w:val="0"/>
                <w:sz w:val="18"/>
                <w:szCs w:val="20"/>
                <w:lang w:val="en-US" w:eastAsia="zh-CN" w:bidi="ar"/>
              </w:rPr>
              <w:t>Configuration</w:t>
            </w:r>
          </w:p>
        </w:tc>
        <w:tc>
          <w:tcPr>
            <w:tcW w:w="5517"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b/>
                <w:bCs/>
                <w:szCs w:val="20"/>
                <w:lang w:val="en-US"/>
              </w:rPr>
            </w:pPr>
            <w:r>
              <w:rPr>
                <w:rFonts w:hint="default" w:ascii="Arial" w:hAnsi="Arial" w:eastAsia="Times New Roman" w:cs="Times New Roman"/>
                <w:b/>
                <w:bCs/>
                <w:kern w:val="0"/>
                <w:sz w:val="18"/>
                <w:szCs w:val="20"/>
                <w:lang w:val="en-US" w:eastAsia="zh-CN"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b/>
                <w:bCs/>
                <w:szCs w:val="20"/>
                <w:lang w:val="en-US"/>
              </w:rPr>
            </w:pPr>
            <w:r>
              <w:rPr>
                <w:rFonts w:hint="default" w:ascii="Arial" w:hAnsi="Arial" w:eastAsia="Times New Roman" w:cs="Times New Roman"/>
                <w:b/>
                <w:bCs/>
                <w:kern w:val="0"/>
                <w:sz w:val="18"/>
                <w:szCs w:val="20"/>
                <w:lang w:val="en-US" w:eastAsia="zh-CN" w:bidi="ar"/>
              </w:rPr>
              <w:t>1</w:t>
            </w:r>
          </w:p>
        </w:tc>
        <w:tc>
          <w:tcPr>
            <w:tcW w:w="5517"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b/>
                <w:bCs/>
                <w:szCs w:val="20"/>
                <w:lang w:val="en-US"/>
              </w:rPr>
            </w:pPr>
            <w:r>
              <w:rPr>
                <w:rFonts w:hint="default" w:ascii="Arial" w:hAnsi="Arial" w:eastAsia="Times New Roman" w:cs="Times New Roman"/>
                <w:b/>
                <w:bCs/>
                <w:kern w:val="0"/>
                <w:sz w:val="18"/>
                <w:szCs w:val="20"/>
                <w:lang w:val="en-US" w:eastAsia="zh-CN" w:bidi="ar"/>
              </w:rPr>
              <w:t xml:space="preserve">GSO, NR FDD, 15 kHz SSB SCS, </w:t>
            </w:r>
            <w:r>
              <w:rPr>
                <w:rFonts w:hint="eastAsia" w:ascii="Arial" w:hAnsi="Arial" w:eastAsia="Times New Roman" w:cs="Times New Roman"/>
                <w:b/>
                <w:bCs/>
                <w:kern w:val="0"/>
                <w:sz w:val="18"/>
                <w:szCs w:val="20"/>
                <w:lang w:val="en-US" w:eastAsia="zh-CN" w:bidi="ar"/>
              </w:rPr>
              <w:t>3</w:t>
            </w:r>
            <w:r>
              <w:rPr>
                <w:rFonts w:hint="default" w:ascii="Arial" w:hAnsi="Arial" w:eastAsia="Times New Roman" w:cs="Times New Roman"/>
                <w:b/>
                <w:bCs/>
                <w:kern w:val="0"/>
                <w:sz w:val="18"/>
                <w:szCs w:val="20"/>
                <w:lang w:val="en-US" w:eastAsia="zh-CN" w:bidi="ar"/>
              </w:rPr>
              <w:t xml:space="preserve"> MHz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b/>
                <w:bCs/>
                <w:szCs w:val="20"/>
                <w:lang w:val="en-US"/>
              </w:rPr>
            </w:pPr>
            <w:r>
              <w:rPr>
                <w:rFonts w:hint="default" w:ascii="Arial" w:hAnsi="Arial" w:eastAsia="Times New Roman" w:cs="Times New Roman"/>
                <w:b/>
                <w:bCs/>
                <w:kern w:val="0"/>
                <w:sz w:val="18"/>
                <w:szCs w:val="20"/>
                <w:lang w:val="en-US" w:eastAsia="zh-CN" w:bidi="ar"/>
              </w:rPr>
              <w:t>2</w:t>
            </w:r>
          </w:p>
        </w:tc>
        <w:tc>
          <w:tcPr>
            <w:tcW w:w="5517"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b/>
                <w:bCs/>
                <w:szCs w:val="20"/>
                <w:lang w:val="en-US"/>
              </w:rPr>
            </w:pPr>
            <w:r>
              <w:rPr>
                <w:rFonts w:hint="default" w:ascii="Arial" w:hAnsi="Arial" w:eastAsia="Times New Roman" w:cs="Times New Roman"/>
                <w:b/>
                <w:bCs/>
                <w:kern w:val="0"/>
                <w:sz w:val="18"/>
                <w:szCs w:val="20"/>
                <w:lang w:val="en-US" w:eastAsia="zh-CN" w:bidi="ar"/>
              </w:rPr>
              <w:t xml:space="preserve">NGSO, NR FDD, 15 kHz SSB SCS, </w:t>
            </w:r>
            <w:r>
              <w:rPr>
                <w:rFonts w:hint="eastAsia" w:ascii="Arial" w:hAnsi="Arial" w:eastAsia="Times New Roman" w:cs="Times New Roman"/>
                <w:b/>
                <w:bCs/>
                <w:kern w:val="0"/>
                <w:sz w:val="18"/>
                <w:szCs w:val="20"/>
                <w:lang w:val="en-US" w:eastAsia="zh-CN" w:bidi="ar"/>
              </w:rPr>
              <w:t>3</w:t>
            </w:r>
            <w:r>
              <w:rPr>
                <w:rFonts w:hint="default" w:ascii="Arial" w:hAnsi="Arial" w:eastAsia="Times New Roman" w:cs="Times New Roman"/>
                <w:b/>
                <w:bCs/>
                <w:kern w:val="0"/>
                <w:sz w:val="18"/>
                <w:szCs w:val="20"/>
                <w:lang w:val="en-US" w:eastAsia="zh-CN" w:bidi="ar"/>
              </w:rPr>
              <w:t xml:space="preserve"> MHz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703"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b/>
                <w:bCs/>
                <w:szCs w:val="20"/>
                <w:lang w:val="en-US" w:eastAsia="zh-CN"/>
              </w:rPr>
            </w:pPr>
            <w:r>
              <w:rPr>
                <w:rFonts w:hint="default" w:ascii="Arial" w:hAnsi="Arial" w:eastAsia="Times New Roman" w:cs="Times New Roman"/>
                <w:b/>
                <w:bCs/>
                <w:kern w:val="0"/>
                <w:sz w:val="18"/>
                <w:szCs w:val="20"/>
                <w:lang w:val="en-US" w:eastAsia="zh-TW" w:bidi="ar"/>
              </w:rPr>
              <w:t>NOTE:</w:t>
            </w:r>
            <w:r>
              <w:rPr>
                <w:rFonts w:hint="default" w:ascii="Arial" w:hAnsi="Arial" w:eastAsia="Times New Roman" w:cs="Times New Roman"/>
                <w:b/>
                <w:bCs/>
                <w:kern w:val="0"/>
                <w:sz w:val="18"/>
                <w:szCs w:val="20"/>
                <w:lang w:val="en-US" w:eastAsia="ko" w:bidi="ar"/>
              </w:rPr>
              <w:tab/>
            </w:r>
            <w:r>
              <w:rPr>
                <w:rFonts w:hint="default" w:ascii="Arial" w:hAnsi="Arial" w:eastAsia="Times New Roman" w:cs="Times New Roman"/>
                <w:b/>
                <w:bCs/>
                <w:kern w:val="0"/>
                <w:sz w:val="18"/>
                <w:szCs w:val="20"/>
                <w:lang w:val="en-US" w:eastAsia="ko" w:bidi="ar"/>
              </w:rPr>
              <w:t>If UE supports both NGSO and GSO, the GSO-based test cases can be skipped if the UE passes NGSO-based test cases.</w:t>
            </w:r>
            <w:r>
              <w:rPr>
                <w:rFonts w:hint="default" w:ascii="Arial" w:hAnsi="Arial" w:eastAsia="Times New Roman" w:cs="Times New Roman"/>
                <w:b/>
                <w:bCs/>
                <w:kern w:val="0"/>
                <w:sz w:val="18"/>
                <w:szCs w:val="20"/>
                <w:lang w:val="en-US" w:eastAsia="zh-TW" w:bidi="ar"/>
              </w:rPr>
              <w:t xml:space="preserve"> </w:t>
            </w:r>
          </w:p>
        </w:tc>
      </w:tr>
    </w:tbl>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performance requirements on R19 NR less than 5M NTN enhancement</w:t>
      </w:r>
      <w:r>
        <w:rPr>
          <w:rFonts w:eastAsia="宋体"/>
          <w:lang w:eastAsia="zh-CN"/>
        </w:rPr>
        <w:t>.</w:t>
      </w:r>
    </w:p>
    <w:p>
      <w:pPr>
        <w:spacing w:beforeLines="50" w:after="120"/>
        <w:rPr>
          <w:rFonts w:hint="eastAsia"/>
          <w:b/>
          <w:bCs/>
          <w:lang w:val="en-US" w:eastAsia="zh-CN"/>
        </w:rPr>
      </w:pPr>
      <w:r>
        <w:rPr>
          <w:rFonts w:hint="eastAsia"/>
          <w:b/>
          <w:bCs/>
          <w:lang w:val="en-US" w:eastAsia="zh-CN"/>
        </w:rPr>
        <w:t>Observation 1: The legacy test requirements without less than 5MHz in TN scenario, the legacy delay as 1280ms is not enough to accommodate longer delay for SIB/MIB reading due to punctured PBCH.</w:t>
      </w:r>
    </w:p>
    <w:p>
      <w:pPr>
        <w:spacing w:beforeLines="50" w:after="120"/>
        <w:rPr>
          <w:rFonts w:hint="default" w:ascii="Times New Roman" w:hAnsi="Times New Roman" w:eastAsia="Times New Roman" w:cs="Times New Roman"/>
          <w:b/>
          <w:bCs/>
          <w:kern w:val="0"/>
          <w:sz w:val="20"/>
          <w:szCs w:val="20"/>
          <w:lang w:val="en-US" w:eastAsia="zh-CN" w:bidi="ar"/>
        </w:rPr>
      </w:pPr>
      <w:r>
        <w:rPr>
          <w:rFonts w:hint="eastAsia"/>
          <w:b/>
          <w:bCs/>
          <w:lang w:val="en-US" w:eastAsia="zh-CN"/>
        </w:rPr>
        <w:t xml:space="preserve">Observation 2: The legacy test requirements with less than 5MHz in TN scenario, </w:t>
      </w:r>
      <w:r>
        <w:rPr>
          <w:rFonts w:hint="default" w:ascii="Times New Roman" w:hAnsi="Times New Roman" w:eastAsia="Times New Roman" w:cs="Times New Roman"/>
          <w:b/>
          <w:bCs/>
          <w:kern w:val="0"/>
          <w:sz w:val="20"/>
          <w:szCs w:val="20"/>
          <w:lang w:val="en-US" w:eastAsia="zh-CN" w:bidi="ar"/>
        </w:rPr>
        <w:t>T</w:t>
      </w:r>
      <w:r>
        <w:rPr>
          <w:rFonts w:hint="default" w:ascii="Times New Roman" w:hAnsi="Times New Roman" w:eastAsia="Times New Roman" w:cs="Times New Roman"/>
          <w:b/>
          <w:bCs/>
          <w:kern w:val="0"/>
          <w:sz w:val="20"/>
          <w:szCs w:val="20"/>
          <w:vertAlign w:val="subscript"/>
          <w:lang w:val="en-US" w:eastAsia="zh-CN" w:bidi="ar"/>
        </w:rPr>
        <w:t>SI-NR</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 xml:space="preserve">Maximum repetition period of relevant system info blocks that needs to be received by the UE to camp on a cell; </w:t>
      </w:r>
      <w:r>
        <w:rPr>
          <w:rFonts w:hint="default" w:ascii="Times New Roman" w:hAnsi="Times New Roman" w:eastAsia="Times New Roman" w:cs="Times New Roman"/>
          <w:b/>
          <w:bCs/>
          <w:kern w:val="0"/>
          <w:sz w:val="20"/>
          <w:szCs w:val="20"/>
          <w:highlight w:val="yellow"/>
          <w:lang w:val="en-US" w:eastAsia="zh-CN" w:bidi="ar"/>
        </w:rPr>
        <w:t>1320 ms</w:t>
      </w:r>
      <w:r>
        <w:rPr>
          <w:rFonts w:hint="default" w:ascii="Times New Roman" w:hAnsi="Times New Roman" w:eastAsia="Times New Roman" w:cs="Times New Roman"/>
          <w:b/>
          <w:bCs/>
          <w:kern w:val="0"/>
          <w:sz w:val="20"/>
          <w:szCs w:val="20"/>
          <w:lang w:val="en-US" w:eastAsia="zh-CN" w:bidi="ar"/>
        </w:rPr>
        <w:t xml:space="preserve"> is assumed in this test case.</w:t>
      </w:r>
    </w:p>
    <w:p>
      <w:pPr>
        <w:spacing w:beforeLines="50" w:after="120"/>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1: RAN4 shall define the test case for cell re-selection requirements in NTN scenario with less than 5MHz.</w:t>
      </w:r>
    </w:p>
    <w:p>
      <w:pPr>
        <w:spacing w:beforeLines="50" w:after="120"/>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2: The concrete test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120" w:afterAutospacing="0"/>
              <w:ind w:left="0" w:right="0"/>
              <w:rPr>
                <w:rFonts w:hint="default" w:cs="Times New Roman"/>
                <w:b/>
                <w:bCs/>
                <w:kern w:val="0"/>
                <w:sz w:val="20"/>
                <w:szCs w:val="20"/>
                <w:vertAlign w:val="baseline"/>
                <w:lang w:val="en-US" w:eastAsia="zh-CN" w:bidi="ar"/>
              </w:rPr>
            </w:pPr>
            <w:r>
              <w:rPr>
                <w:rFonts w:hint="default" w:ascii="Times New Roman" w:hAnsi="Times New Roman" w:eastAsia="Times New Roman" w:cs="Times New Roman"/>
                <w:b/>
                <w:bCs/>
                <w:kern w:val="0"/>
                <w:sz w:val="20"/>
                <w:szCs w:val="20"/>
                <w:lang w:val="en-US" w:eastAsia="zh-CN" w:bidi="ar"/>
              </w:rPr>
              <w:t>T</w:t>
            </w:r>
            <w:r>
              <w:rPr>
                <w:rFonts w:hint="default" w:ascii="Times New Roman" w:hAnsi="Times New Roman" w:eastAsia="Times New Roman" w:cs="Times New Roman"/>
                <w:b/>
                <w:bCs/>
                <w:kern w:val="0"/>
                <w:sz w:val="20"/>
                <w:szCs w:val="20"/>
                <w:vertAlign w:val="subscript"/>
                <w:lang w:val="en-US" w:eastAsia="zh-CN" w:bidi="ar"/>
              </w:rPr>
              <w:t>SI-NR</w:t>
            </w:r>
            <w:r>
              <w:rPr>
                <w:rFonts w:hint="default" w:ascii="Times New Roman" w:hAnsi="Times New Roman" w:eastAsia="Times New Roman" w:cs="Times New Roman"/>
                <w:b/>
                <w:bCs/>
                <w:kern w:val="0"/>
                <w:sz w:val="20"/>
                <w:szCs w:val="20"/>
                <w:lang w:val="en-US" w:eastAsia="zh-CN" w:bidi="ar"/>
              </w:rPr>
              <w:tab/>
            </w:r>
            <w:r>
              <w:rPr>
                <w:rFonts w:hint="default" w:ascii="Times New Roman" w:hAnsi="Times New Roman" w:eastAsia="Times New Roman" w:cs="Times New Roman"/>
                <w:b/>
                <w:bCs/>
                <w:kern w:val="0"/>
                <w:sz w:val="20"/>
                <w:szCs w:val="20"/>
                <w:lang w:val="en-US" w:eastAsia="zh-CN" w:bidi="ar"/>
              </w:rPr>
              <w:t xml:space="preserve">Maximum repetition period of relevant system info blocks that needs to be received by the UE to camp on a cell; </w:t>
            </w:r>
            <w:r>
              <w:rPr>
                <w:rFonts w:hint="default" w:ascii="Times New Roman" w:hAnsi="Times New Roman" w:eastAsia="Times New Roman" w:cs="Times New Roman"/>
                <w:b/>
                <w:bCs/>
                <w:kern w:val="0"/>
                <w:sz w:val="20"/>
                <w:szCs w:val="20"/>
                <w:highlight w:val="yellow"/>
                <w:lang w:val="en-US" w:eastAsia="zh-CN" w:bidi="ar"/>
              </w:rPr>
              <w:t>1</w:t>
            </w:r>
            <w:r>
              <w:rPr>
                <w:rFonts w:hint="eastAsia" w:cs="Times New Roman"/>
                <w:b/>
                <w:bCs/>
                <w:kern w:val="0"/>
                <w:sz w:val="20"/>
                <w:szCs w:val="20"/>
                <w:highlight w:val="yellow"/>
                <w:lang w:val="en-US" w:eastAsia="zh-CN" w:bidi="ar"/>
              </w:rPr>
              <w:t>320</w:t>
            </w:r>
            <w:r>
              <w:rPr>
                <w:rFonts w:hint="default" w:ascii="Times New Roman" w:hAnsi="Times New Roman" w:eastAsia="Times New Roman" w:cs="Times New Roman"/>
                <w:b/>
                <w:bCs/>
                <w:kern w:val="0"/>
                <w:sz w:val="20"/>
                <w:szCs w:val="20"/>
                <w:highlight w:val="yellow"/>
                <w:lang w:val="en-US" w:eastAsia="zh-CN" w:bidi="ar"/>
              </w:rPr>
              <w:t xml:space="preserve"> ms</w:t>
            </w:r>
            <w:r>
              <w:rPr>
                <w:rFonts w:hint="default" w:ascii="Times New Roman" w:hAnsi="Times New Roman" w:eastAsia="Times New Roman" w:cs="Times New Roman"/>
                <w:b/>
                <w:bCs/>
                <w:kern w:val="0"/>
                <w:sz w:val="20"/>
                <w:szCs w:val="20"/>
                <w:lang w:val="en-US" w:eastAsia="zh-CN" w:bidi="ar"/>
              </w:rPr>
              <w:t xml:space="preserve"> is assumed in this test case provided that SIB1 and SIB19 are scheduled with 20 ms period and 80 ms period, respectively.</w:t>
            </w:r>
          </w:p>
        </w:tc>
      </w:tr>
    </w:tbl>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Observation 3: For test cases on handover in NTN scenario, intra-/inter- frequency measurements with known cell are tested.</w:t>
      </w:r>
    </w:p>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Observation 4: The Tsearch and Tdelta is same between RACH-based and RACH-less handover.</w:t>
      </w:r>
    </w:p>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3: For handover in NTN scenario, the following test cases shall be considered:</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4" w:hRule="atLeast"/>
          <w:jc w:val="center"/>
        </w:trPr>
        <w:tc>
          <w:tcPr>
            <w:tcW w:w="7240" w:type="dxa"/>
          </w:tcPr>
          <w:p>
            <w:pPr>
              <w:keepNext w:val="0"/>
              <w:keepLines w:val="0"/>
              <w:widowControl/>
              <w:suppressLineNumbers w:val="0"/>
              <w:spacing w:before="0" w:beforeLines="50" w:beforeAutospacing="0" w:after="120" w:afterAutospacing="0"/>
              <w:ind w:left="0" w:right="0"/>
              <w:rPr>
                <w:rFonts w:hint="eastAsia"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HO-1: Intra-frequency HO including RACH-based HO, unknown cell</w:t>
            </w:r>
          </w:p>
          <w:p>
            <w:pPr>
              <w:keepNext w:val="0"/>
              <w:keepLines w:val="0"/>
              <w:widowControl/>
              <w:suppressLineNumbers w:val="0"/>
              <w:spacing w:before="0" w:beforeLines="50" w:beforeAutospacing="0" w:after="120" w:afterAutospacing="0"/>
              <w:ind w:left="0" w:right="0"/>
              <w:rPr>
                <w:rFonts w:hint="default"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HO-2: Inter-frequency HO including RACH-based HO, unknown cell</w:t>
            </w:r>
          </w:p>
        </w:tc>
      </w:tr>
    </w:tbl>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4: For CHO in NTN scenario, the following test cases shall be considered:</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4" w:hRule="atLeast"/>
          <w:jc w:val="center"/>
        </w:trPr>
        <w:tc>
          <w:tcPr>
            <w:tcW w:w="7240" w:type="dxa"/>
          </w:tcPr>
          <w:p>
            <w:pPr>
              <w:keepNext w:val="0"/>
              <w:keepLines w:val="0"/>
              <w:widowControl/>
              <w:suppressLineNumbers w:val="0"/>
              <w:spacing w:before="0" w:beforeLines="50" w:beforeAutospacing="0" w:after="120" w:afterAutospacing="0"/>
              <w:ind w:left="0" w:right="0"/>
              <w:jc w:val="both"/>
              <w:rPr>
                <w:rFonts w:hint="default"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CHO-1: Intra-frequency CHO , time based with L3 measurement</w:t>
            </w:r>
          </w:p>
          <w:p>
            <w:pPr>
              <w:keepNext w:val="0"/>
              <w:keepLines w:val="0"/>
              <w:widowControl/>
              <w:suppressLineNumbers w:val="0"/>
              <w:spacing w:before="0" w:beforeLines="50" w:beforeAutospacing="0" w:after="120" w:afterAutospacing="0"/>
              <w:ind w:left="0" w:right="0"/>
              <w:rPr>
                <w:rFonts w:hint="default"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CHO-2: Inter-frequency CHO , distance based with L3 measurement</w:t>
            </w:r>
          </w:p>
        </w:tc>
      </w:tr>
    </w:tbl>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5: For satellite switch, the following test cases shall be considered:</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9" w:hRule="atLeast"/>
          <w:jc w:val="center"/>
        </w:trPr>
        <w:tc>
          <w:tcPr>
            <w:tcW w:w="6540" w:type="dxa"/>
          </w:tcPr>
          <w:p>
            <w:pPr>
              <w:keepNext w:val="0"/>
              <w:keepLines w:val="0"/>
              <w:widowControl/>
              <w:suppressLineNumbers w:val="0"/>
              <w:tabs>
                <w:tab w:val="center" w:pos="3512"/>
              </w:tabs>
              <w:spacing w:before="0" w:beforeLines="50" w:beforeAutospacing="0" w:after="0" w:afterAutospacing="0"/>
              <w:ind w:left="0" w:right="0"/>
              <w:jc w:val="both"/>
              <w:rPr>
                <w:rFonts w:hint="default"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SatSwitch-1: Soft satellite switch</w:t>
            </w:r>
          </w:p>
        </w:tc>
      </w:tr>
    </w:tbl>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6: For RLM and BFR, the following test cases shall be considered:</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7420" w:type="dxa"/>
          </w:tcPr>
          <w:p>
            <w:pPr>
              <w:keepNext w:val="0"/>
              <w:keepLines w:val="0"/>
              <w:widowControl/>
              <w:suppressLineNumbers w:val="0"/>
              <w:spacing w:before="0" w:beforeLines="50" w:beforeAutospacing="0" w:after="120" w:afterAutospacing="0"/>
              <w:ind w:left="0" w:right="0"/>
              <w:jc w:val="both"/>
              <w:rPr>
                <w:rFonts w:hint="eastAsia"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RLM-1: RLM OOS with DRX for 15PRB</w:t>
            </w:r>
          </w:p>
          <w:p>
            <w:pPr>
              <w:keepNext w:val="0"/>
              <w:keepLines w:val="0"/>
              <w:widowControl/>
              <w:suppressLineNumbers w:val="0"/>
              <w:spacing w:before="0" w:beforeLines="50" w:beforeAutospacing="0" w:after="120" w:afterAutospacing="0"/>
              <w:ind w:left="0" w:right="0"/>
              <w:jc w:val="both"/>
              <w:rPr>
                <w:rFonts w:hint="eastAsia" w:cs="Times New Roman"/>
                <w:b/>
                <w:bCs/>
                <w:kern w:val="0"/>
                <w:sz w:val="20"/>
                <w:szCs w:val="20"/>
                <w:vertAlign w:val="baseline"/>
                <w:lang w:val="en-US" w:eastAsia="zh-CN" w:bidi="ar"/>
              </w:rPr>
            </w:pPr>
            <w:r>
              <w:rPr>
                <w:rFonts w:hint="eastAsia" w:cs="Times New Roman"/>
                <w:b/>
                <w:bCs/>
                <w:kern w:val="0"/>
                <w:sz w:val="20"/>
                <w:szCs w:val="20"/>
                <w:vertAlign w:val="baseline"/>
                <w:lang w:val="en-US" w:eastAsia="zh-CN" w:bidi="ar"/>
              </w:rPr>
              <w:t>RLM-2: RLM IS with DRX for 15PRB</w:t>
            </w:r>
          </w:p>
          <w:p>
            <w:pPr>
              <w:keepNext w:val="0"/>
              <w:keepLines w:val="0"/>
              <w:widowControl/>
              <w:suppressLineNumbers w:val="0"/>
              <w:spacing w:before="0" w:beforeLines="50" w:beforeAutospacing="0" w:after="120" w:afterAutospacing="0"/>
              <w:ind w:left="0" w:right="0"/>
              <w:jc w:val="both"/>
              <w:rPr>
                <w:rFonts w:hint="default" w:cs="Times New Roman"/>
                <w:kern w:val="0"/>
                <w:sz w:val="20"/>
                <w:szCs w:val="20"/>
                <w:vertAlign w:val="baseline"/>
                <w:lang w:val="en-US" w:eastAsia="zh-CN" w:bidi="ar"/>
              </w:rPr>
            </w:pPr>
            <w:r>
              <w:rPr>
                <w:rFonts w:hint="eastAsia" w:cs="Times New Roman"/>
                <w:b/>
                <w:bCs/>
                <w:kern w:val="0"/>
                <w:sz w:val="20"/>
                <w:szCs w:val="20"/>
                <w:vertAlign w:val="baseline"/>
                <w:lang w:val="en-US" w:eastAsia="zh-CN" w:bidi="ar"/>
              </w:rPr>
              <w:t>BFR without DRX</w:t>
            </w:r>
          </w:p>
        </w:tc>
      </w:tr>
    </w:tbl>
    <w:p>
      <w:pPr>
        <w:spacing w:beforeLines="50" w:after="120"/>
        <w:jc w:val="both"/>
        <w:rPr>
          <w:rFonts w:hint="default" w:cs="Times New Roman"/>
          <w:b/>
          <w:bCs/>
          <w:kern w:val="0"/>
          <w:sz w:val="20"/>
          <w:szCs w:val="20"/>
          <w:lang w:val="en-US" w:eastAsia="zh-CN" w:bidi="ar"/>
        </w:rPr>
      </w:pPr>
      <w:r>
        <w:rPr>
          <w:rFonts w:hint="eastAsia" w:cs="Times New Roman"/>
          <w:b/>
          <w:bCs/>
          <w:kern w:val="0"/>
          <w:sz w:val="20"/>
          <w:szCs w:val="20"/>
          <w:lang w:val="en-US" w:eastAsia="zh-CN" w:bidi="ar"/>
        </w:rPr>
        <w:t>Proposal 7: For measurement, the legacy test cases could be used as follows:</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4" w:hRule="atLeast"/>
          <w:jc w:val="center"/>
        </w:trPr>
        <w:tc>
          <w:tcPr>
            <w:tcW w:w="7420" w:type="dxa"/>
          </w:tcPr>
          <w:p>
            <w:pPr>
              <w:pStyle w:val="73"/>
              <w:keepNext w:val="0"/>
              <w:keepLines w:val="0"/>
              <w:widowControl/>
              <w:numPr>
                <w:ilvl w:val="-1"/>
                <w:numId w:val="0"/>
              </w:numPr>
              <w:suppressLineNumbers w:val="0"/>
              <w:overflowPunct w:val="0"/>
              <w:autoSpaceDE w:val="0"/>
              <w:autoSpaceDN w:val="0"/>
              <w:adjustRightInd w:val="0"/>
              <w:spacing w:before="120" w:beforeLines="0" w:beforeAutospacing="0" w:after="120" w:afterLines="0" w:afterAutospacing="0"/>
              <w:ind w:left="0" w:right="0" w:firstLine="0"/>
              <w:textAlignment w:val="baseline"/>
              <w:rPr>
                <w:rFonts w:hint="default" w:eastAsia="宋体"/>
                <w:b/>
                <w:bCs/>
                <w:lang w:eastAsia="zh-CN"/>
              </w:rPr>
            </w:pPr>
            <w:r>
              <w:rPr>
                <w:rFonts w:hint="default" w:eastAsia="宋体"/>
                <w:b/>
                <w:bCs/>
                <w:lang w:eastAsia="zh-CN"/>
              </w:rPr>
              <w:t>Intra-frequency L3 measurement with SSB index reading without DRX</w:t>
            </w:r>
          </w:p>
          <w:p>
            <w:pPr>
              <w:pStyle w:val="73"/>
              <w:keepNext w:val="0"/>
              <w:keepLines w:val="0"/>
              <w:widowControl/>
              <w:numPr>
                <w:ilvl w:val="-1"/>
                <w:numId w:val="0"/>
              </w:numPr>
              <w:suppressLineNumbers w:val="0"/>
              <w:overflowPunct w:val="0"/>
              <w:autoSpaceDE w:val="0"/>
              <w:autoSpaceDN w:val="0"/>
              <w:adjustRightInd w:val="0"/>
              <w:spacing w:before="120" w:beforeLines="0" w:beforeAutospacing="0" w:after="120" w:afterLines="0" w:afterAutospacing="0"/>
              <w:ind w:left="0" w:right="0" w:firstLine="0"/>
              <w:jc w:val="both"/>
              <w:textAlignment w:val="baseline"/>
              <w:rPr>
                <w:rFonts w:hint="default" w:cs="Times New Roman"/>
                <w:kern w:val="0"/>
                <w:sz w:val="20"/>
                <w:szCs w:val="20"/>
                <w:vertAlign w:val="baseline"/>
                <w:lang w:val="en-US" w:eastAsia="zh-CN" w:bidi="ar"/>
              </w:rPr>
            </w:pPr>
            <w:r>
              <w:rPr>
                <w:rFonts w:hint="default" w:eastAsia="宋体"/>
                <w:b/>
                <w:bCs/>
                <w:lang w:eastAsia="zh-CN"/>
              </w:rPr>
              <w:t>Inter-frequency L3 measurement without SSB index reading with DRX</w:t>
            </w:r>
          </w:p>
        </w:tc>
      </w:tr>
    </w:tbl>
    <w:p>
      <w:pPr>
        <w:spacing w:beforeLines="50" w:after="120"/>
        <w:jc w:val="both"/>
        <w:rPr>
          <w:rFonts w:hint="eastAsia" w:cs="Times New Roman"/>
          <w:b/>
          <w:bCs/>
          <w:kern w:val="0"/>
          <w:sz w:val="20"/>
          <w:szCs w:val="20"/>
          <w:lang w:val="en-US" w:eastAsia="zh-CN" w:bidi="ar"/>
        </w:rPr>
      </w:pPr>
      <w:r>
        <w:rPr>
          <w:rFonts w:hint="eastAsia" w:cs="Times New Roman"/>
          <w:b/>
          <w:bCs/>
          <w:kern w:val="0"/>
          <w:sz w:val="20"/>
          <w:szCs w:val="20"/>
          <w:lang w:val="en-US" w:eastAsia="zh-CN" w:bidi="ar"/>
        </w:rPr>
        <w:t>Proposal 8: The test configuration can be seen as below:</w:t>
      </w:r>
    </w:p>
    <w:tbl>
      <w:tblPr>
        <w:tblStyle w:val="30"/>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220"/>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b/>
                <w:bCs/>
                <w:szCs w:val="20"/>
                <w:lang w:val="en-US"/>
              </w:rPr>
            </w:pPr>
            <w:r>
              <w:rPr>
                <w:rFonts w:hint="default" w:ascii="Arial" w:hAnsi="Arial" w:eastAsia="Times New Roman" w:cs="Times New Roman"/>
                <w:b/>
                <w:bCs/>
                <w:kern w:val="0"/>
                <w:sz w:val="18"/>
                <w:szCs w:val="20"/>
                <w:lang w:val="en-US" w:eastAsia="zh-CN" w:bidi="ar"/>
              </w:rPr>
              <w:t>Configuration</w:t>
            </w:r>
          </w:p>
        </w:tc>
        <w:tc>
          <w:tcPr>
            <w:tcW w:w="5517"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b/>
                <w:bCs/>
                <w:szCs w:val="20"/>
                <w:lang w:val="en-US"/>
              </w:rPr>
            </w:pPr>
            <w:r>
              <w:rPr>
                <w:rFonts w:hint="default" w:ascii="Arial" w:hAnsi="Arial" w:eastAsia="Times New Roman" w:cs="Times New Roman"/>
                <w:b/>
                <w:bCs/>
                <w:kern w:val="0"/>
                <w:sz w:val="18"/>
                <w:szCs w:val="20"/>
                <w:lang w:val="en-US" w:eastAsia="zh-CN"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b/>
                <w:bCs/>
                <w:szCs w:val="20"/>
                <w:lang w:val="en-US"/>
              </w:rPr>
            </w:pPr>
            <w:r>
              <w:rPr>
                <w:rFonts w:hint="default" w:ascii="Arial" w:hAnsi="Arial" w:eastAsia="Times New Roman" w:cs="Times New Roman"/>
                <w:b/>
                <w:bCs/>
                <w:kern w:val="0"/>
                <w:sz w:val="18"/>
                <w:szCs w:val="20"/>
                <w:lang w:val="en-US" w:eastAsia="zh-CN" w:bidi="ar"/>
              </w:rPr>
              <w:t>1</w:t>
            </w:r>
          </w:p>
        </w:tc>
        <w:tc>
          <w:tcPr>
            <w:tcW w:w="5517"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b/>
                <w:bCs/>
                <w:szCs w:val="20"/>
                <w:lang w:val="en-US"/>
              </w:rPr>
            </w:pPr>
            <w:r>
              <w:rPr>
                <w:rFonts w:hint="default" w:ascii="Arial" w:hAnsi="Arial" w:eastAsia="Times New Roman" w:cs="Times New Roman"/>
                <w:b/>
                <w:bCs/>
                <w:kern w:val="0"/>
                <w:sz w:val="18"/>
                <w:szCs w:val="20"/>
                <w:lang w:val="en-US" w:eastAsia="zh-CN" w:bidi="ar"/>
              </w:rPr>
              <w:t xml:space="preserve">GSO, NR FDD, 15 kHz SSB SCS, </w:t>
            </w:r>
            <w:r>
              <w:rPr>
                <w:rFonts w:hint="eastAsia" w:ascii="Arial" w:hAnsi="Arial" w:eastAsia="Times New Roman" w:cs="Times New Roman"/>
                <w:b/>
                <w:bCs/>
                <w:kern w:val="0"/>
                <w:sz w:val="18"/>
                <w:szCs w:val="20"/>
                <w:lang w:val="en-US" w:eastAsia="zh-CN" w:bidi="ar"/>
              </w:rPr>
              <w:t>3</w:t>
            </w:r>
            <w:r>
              <w:rPr>
                <w:rFonts w:hint="default" w:ascii="Arial" w:hAnsi="Arial" w:eastAsia="Times New Roman" w:cs="Times New Roman"/>
                <w:b/>
                <w:bCs/>
                <w:kern w:val="0"/>
                <w:sz w:val="18"/>
                <w:szCs w:val="20"/>
                <w:lang w:val="en-US" w:eastAsia="zh-CN" w:bidi="ar"/>
              </w:rPr>
              <w:t xml:space="preserve"> MHz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hint="default"/>
                <w:b/>
                <w:bCs/>
                <w:szCs w:val="20"/>
                <w:lang w:val="en-US"/>
              </w:rPr>
            </w:pPr>
            <w:r>
              <w:rPr>
                <w:rFonts w:hint="default" w:ascii="Arial" w:hAnsi="Arial" w:eastAsia="Times New Roman" w:cs="Times New Roman"/>
                <w:b/>
                <w:bCs/>
                <w:kern w:val="0"/>
                <w:sz w:val="18"/>
                <w:szCs w:val="20"/>
                <w:lang w:val="en-US" w:eastAsia="zh-CN" w:bidi="ar"/>
              </w:rPr>
              <w:t>2</w:t>
            </w:r>
          </w:p>
        </w:tc>
        <w:tc>
          <w:tcPr>
            <w:tcW w:w="5517" w:type="dxa"/>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rFonts w:hint="default"/>
                <w:b/>
                <w:bCs/>
                <w:szCs w:val="20"/>
                <w:lang w:val="en-US"/>
              </w:rPr>
            </w:pPr>
            <w:r>
              <w:rPr>
                <w:rFonts w:hint="default" w:ascii="Arial" w:hAnsi="Arial" w:eastAsia="Times New Roman" w:cs="Times New Roman"/>
                <w:b/>
                <w:bCs/>
                <w:kern w:val="0"/>
                <w:sz w:val="18"/>
                <w:szCs w:val="20"/>
                <w:lang w:val="en-US" w:eastAsia="zh-CN" w:bidi="ar"/>
              </w:rPr>
              <w:t xml:space="preserve">NGSO, NR FDD, 15 kHz SSB SCS, </w:t>
            </w:r>
            <w:r>
              <w:rPr>
                <w:rFonts w:hint="eastAsia" w:ascii="Arial" w:hAnsi="Arial" w:eastAsia="Times New Roman" w:cs="Times New Roman"/>
                <w:b/>
                <w:bCs/>
                <w:kern w:val="0"/>
                <w:sz w:val="18"/>
                <w:szCs w:val="20"/>
                <w:lang w:val="en-US" w:eastAsia="zh-CN" w:bidi="ar"/>
              </w:rPr>
              <w:t>3</w:t>
            </w:r>
            <w:r>
              <w:rPr>
                <w:rFonts w:hint="default" w:ascii="Arial" w:hAnsi="Arial" w:eastAsia="Times New Roman" w:cs="Times New Roman"/>
                <w:b/>
                <w:bCs/>
                <w:kern w:val="0"/>
                <w:sz w:val="18"/>
                <w:szCs w:val="20"/>
                <w:lang w:val="en-US" w:eastAsia="zh-CN" w:bidi="ar"/>
              </w:rPr>
              <w:t xml:space="preserve"> MHz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7703"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29"/>
              <w:keepNext w:val="0"/>
              <w:keepLines w:val="0"/>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b/>
                <w:bCs/>
                <w:szCs w:val="20"/>
                <w:lang w:val="en-US" w:eastAsia="zh-CN"/>
              </w:rPr>
            </w:pPr>
            <w:r>
              <w:rPr>
                <w:rFonts w:hint="default" w:ascii="Arial" w:hAnsi="Arial" w:eastAsia="Times New Roman" w:cs="Times New Roman"/>
                <w:b/>
                <w:bCs/>
                <w:kern w:val="0"/>
                <w:sz w:val="18"/>
                <w:szCs w:val="20"/>
                <w:lang w:val="en-US" w:eastAsia="zh-TW" w:bidi="ar"/>
              </w:rPr>
              <w:t>NOTE:</w:t>
            </w:r>
            <w:r>
              <w:rPr>
                <w:rFonts w:hint="default" w:ascii="Arial" w:hAnsi="Arial" w:eastAsia="Times New Roman" w:cs="Times New Roman"/>
                <w:b/>
                <w:bCs/>
                <w:kern w:val="0"/>
                <w:sz w:val="18"/>
                <w:szCs w:val="20"/>
                <w:lang w:val="en-US" w:eastAsia="ko" w:bidi="ar"/>
              </w:rPr>
              <w:tab/>
            </w:r>
            <w:r>
              <w:rPr>
                <w:rFonts w:hint="default" w:ascii="Arial" w:hAnsi="Arial" w:eastAsia="Times New Roman" w:cs="Times New Roman"/>
                <w:b/>
                <w:bCs/>
                <w:kern w:val="0"/>
                <w:sz w:val="18"/>
                <w:szCs w:val="20"/>
                <w:lang w:val="en-US" w:eastAsia="ko" w:bidi="ar"/>
              </w:rPr>
              <w:t>If UE supports both NGSO and GSO, the GSO-based test cases can be skipped if the UE passes NGSO-based test cases.</w:t>
            </w:r>
            <w:r>
              <w:rPr>
                <w:rFonts w:hint="default" w:ascii="Arial" w:hAnsi="Arial" w:eastAsia="Times New Roman" w:cs="Times New Roman"/>
                <w:b/>
                <w:bCs/>
                <w:kern w:val="0"/>
                <w:sz w:val="18"/>
                <w:szCs w:val="20"/>
                <w:lang w:val="en-US" w:eastAsia="zh-TW" w:bidi="ar"/>
              </w:rPr>
              <w:t xml:space="preserve"> </w:t>
            </w:r>
          </w:p>
        </w:tc>
      </w:tr>
    </w:tbl>
    <w:p>
      <w:pPr>
        <w:keepNext w:val="0"/>
        <w:keepLines w:val="0"/>
        <w:pageBreakBefore w:val="0"/>
        <w:widowControl/>
        <w:numPr>
          <w:ilvl w:val="-1"/>
          <w:numId w:val="0"/>
        </w:numPr>
        <w:kinsoku/>
        <w:wordWrap/>
        <w:overflowPunct/>
        <w:topLinePunct w:val="0"/>
        <w:autoSpaceDE/>
        <w:autoSpaceDN/>
        <w:bidi w:val="0"/>
        <w:adjustRightInd/>
        <w:snapToGrid/>
        <w:spacing w:before="120" w:beforeLines="-2147483648" w:after="120"/>
        <w:ind w:left="0" w:leftChars="0" w:firstLine="0" w:firstLineChars="0"/>
        <w:jc w:val="left"/>
        <w:textAlignment w:val="auto"/>
        <w:rPr>
          <w:rFonts w:hint="default"/>
          <w:b/>
          <w:bCs/>
          <w:lang w:val="en-US" w:eastAsia="zh-CN"/>
        </w:rPr>
      </w:pP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5"/>
        </w:numPr>
        <w:rPr>
          <w:rFonts w:hint="eastAsia"/>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5"/>
        </w:numPr>
        <w:rPr>
          <w:rFonts w:hint="default"/>
          <w:lang w:val="en-US" w:eastAsia="zh-CN"/>
        </w:rPr>
      </w:pPr>
      <w:r>
        <w:rPr>
          <w:rFonts w:hint="eastAsia"/>
          <w:lang w:val="en-US" w:eastAsia="zh-CN"/>
        </w:rPr>
        <w:t>TS38.133</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auto"/>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6297038"/>
    <w:multiLevelType w:val="multilevel"/>
    <w:tmpl w:val="66297038"/>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eastAsia" w:ascii="宋体" w:hAnsi="宋体" w:eastAsia="Times New Roman" w:cs="宋体"/>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7640F"/>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452F0"/>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768CA"/>
    <w:rsid w:val="00885367"/>
    <w:rsid w:val="008A6463"/>
    <w:rsid w:val="008C384C"/>
    <w:rsid w:val="008E06DF"/>
    <w:rsid w:val="0090271F"/>
    <w:rsid w:val="00902E23"/>
    <w:rsid w:val="009114D7"/>
    <w:rsid w:val="0091348E"/>
    <w:rsid w:val="00917CCB"/>
    <w:rsid w:val="00942EC2"/>
    <w:rsid w:val="00957601"/>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62D0E"/>
    <w:rsid w:val="018F1743"/>
    <w:rsid w:val="018F25C8"/>
    <w:rsid w:val="01906A5B"/>
    <w:rsid w:val="01907C39"/>
    <w:rsid w:val="019F41BD"/>
    <w:rsid w:val="01BE3BEC"/>
    <w:rsid w:val="01CE0603"/>
    <w:rsid w:val="01D51FE8"/>
    <w:rsid w:val="01D55A0F"/>
    <w:rsid w:val="01E70C97"/>
    <w:rsid w:val="01EA15CF"/>
    <w:rsid w:val="021951FF"/>
    <w:rsid w:val="023A59BC"/>
    <w:rsid w:val="02402E7C"/>
    <w:rsid w:val="02505886"/>
    <w:rsid w:val="025A5C68"/>
    <w:rsid w:val="027C74A2"/>
    <w:rsid w:val="029011A2"/>
    <w:rsid w:val="02A03627"/>
    <w:rsid w:val="02B66382"/>
    <w:rsid w:val="02D45932"/>
    <w:rsid w:val="02D60658"/>
    <w:rsid w:val="02DB4554"/>
    <w:rsid w:val="02DD1CD4"/>
    <w:rsid w:val="02DF0D66"/>
    <w:rsid w:val="02EC4357"/>
    <w:rsid w:val="02EE768C"/>
    <w:rsid w:val="02FA1082"/>
    <w:rsid w:val="031778E0"/>
    <w:rsid w:val="0327096F"/>
    <w:rsid w:val="032737B0"/>
    <w:rsid w:val="032A315A"/>
    <w:rsid w:val="033C405D"/>
    <w:rsid w:val="033F707D"/>
    <w:rsid w:val="034339E7"/>
    <w:rsid w:val="03481CC2"/>
    <w:rsid w:val="034E163D"/>
    <w:rsid w:val="034F02E2"/>
    <w:rsid w:val="03572405"/>
    <w:rsid w:val="035D2A45"/>
    <w:rsid w:val="037709BE"/>
    <w:rsid w:val="037A1943"/>
    <w:rsid w:val="03B04920"/>
    <w:rsid w:val="03BB7678"/>
    <w:rsid w:val="03BF3D9F"/>
    <w:rsid w:val="03BF72E7"/>
    <w:rsid w:val="03C80AD2"/>
    <w:rsid w:val="03C95263"/>
    <w:rsid w:val="03CA7EB2"/>
    <w:rsid w:val="03F0584F"/>
    <w:rsid w:val="03FB5627"/>
    <w:rsid w:val="04043AA5"/>
    <w:rsid w:val="04076F95"/>
    <w:rsid w:val="0409766A"/>
    <w:rsid w:val="041D49CF"/>
    <w:rsid w:val="04242812"/>
    <w:rsid w:val="042476C6"/>
    <w:rsid w:val="042D44F5"/>
    <w:rsid w:val="04383CC9"/>
    <w:rsid w:val="043C7B6F"/>
    <w:rsid w:val="043F68C7"/>
    <w:rsid w:val="04421BA4"/>
    <w:rsid w:val="044B12E0"/>
    <w:rsid w:val="046301A2"/>
    <w:rsid w:val="04732FB8"/>
    <w:rsid w:val="04871DE8"/>
    <w:rsid w:val="048F6485"/>
    <w:rsid w:val="04A12403"/>
    <w:rsid w:val="04A54083"/>
    <w:rsid w:val="04A815F7"/>
    <w:rsid w:val="04AB1CB5"/>
    <w:rsid w:val="04AD06A4"/>
    <w:rsid w:val="04BD1E3A"/>
    <w:rsid w:val="04D5637C"/>
    <w:rsid w:val="04E91598"/>
    <w:rsid w:val="050C7718"/>
    <w:rsid w:val="0510745B"/>
    <w:rsid w:val="05214F03"/>
    <w:rsid w:val="052F7D10"/>
    <w:rsid w:val="054F5218"/>
    <w:rsid w:val="055E02FB"/>
    <w:rsid w:val="05630D81"/>
    <w:rsid w:val="056A3BE2"/>
    <w:rsid w:val="058C4826"/>
    <w:rsid w:val="05AD05DE"/>
    <w:rsid w:val="05AE2916"/>
    <w:rsid w:val="05B1379B"/>
    <w:rsid w:val="05C20597"/>
    <w:rsid w:val="05C6466C"/>
    <w:rsid w:val="05D94925"/>
    <w:rsid w:val="05DB67C3"/>
    <w:rsid w:val="05E60F0C"/>
    <w:rsid w:val="05F02736"/>
    <w:rsid w:val="05F61BB8"/>
    <w:rsid w:val="06026AB1"/>
    <w:rsid w:val="06043605"/>
    <w:rsid w:val="06095400"/>
    <w:rsid w:val="060D0D66"/>
    <w:rsid w:val="061F2E9B"/>
    <w:rsid w:val="062C2061"/>
    <w:rsid w:val="062D43AF"/>
    <w:rsid w:val="06311BAC"/>
    <w:rsid w:val="063409FE"/>
    <w:rsid w:val="06382368"/>
    <w:rsid w:val="06785C08"/>
    <w:rsid w:val="067C67DB"/>
    <w:rsid w:val="067F65D2"/>
    <w:rsid w:val="068158A4"/>
    <w:rsid w:val="06A05FC0"/>
    <w:rsid w:val="06AE1485"/>
    <w:rsid w:val="06AE70E8"/>
    <w:rsid w:val="06E54956"/>
    <w:rsid w:val="06F01EEF"/>
    <w:rsid w:val="07002189"/>
    <w:rsid w:val="07007517"/>
    <w:rsid w:val="07073FA3"/>
    <w:rsid w:val="070B52BC"/>
    <w:rsid w:val="070F1174"/>
    <w:rsid w:val="072F7FC6"/>
    <w:rsid w:val="0732584E"/>
    <w:rsid w:val="074109F4"/>
    <w:rsid w:val="07583E9D"/>
    <w:rsid w:val="075A7EF6"/>
    <w:rsid w:val="076202A2"/>
    <w:rsid w:val="076A2A73"/>
    <w:rsid w:val="07794834"/>
    <w:rsid w:val="078759D7"/>
    <w:rsid w:val="079D059C"/>
    <w:rsid w:val="07AE506C"/>
    <w:rsid w:val="07C05808"/>
    <w:rsid w:val="07C22AAD"/>
    <w:rsid w:val="07C3764D"/>
    <w:rsid w:val="07C644D1"/>
    <w:rsid w:val="07F66AC5"/>
    <w:rsid w:val="07FA2981"/>
    <w:rsid w:val="0809009E"/>
    <w:rsid w:val="081F651B"/>
    <w:rsid w:val="0833764C"/>
    <w:rsid w:val="083F5297"/>
    <w:rsid w:val="084677D5"/>
    <w:rsid w:val="0848005E"/>
    <w:rsid w:val="084B1A9E"/>
    <w:rsid w:val="084C657D"/>
    <w:rsid w:val="084D12F0"/>
    <w:rsid w:val="087B6B61"/>
    <w:rsid w:val="087E40F9"/>
    <w:rsid w:val="08876410"/>
    <w:rsid w:val="08916AA8"/>
    <w:rsid w:val="089F664F"/>
    <w:rsid w:val="08A153B1"/>
    <w:rsid w:val="08A203F3"/>
    <w:rsid w:val="08AF00C1"/>
    <w:rsid w:val="08B531C0"/>
    <w:rsid w:val="08BB1078"/>
    <w:rsid w:val="08BD1F16"/>
    <w:rsid w:val="08BD5CAB"/>
    <w:rsid w:val="08C469E4"/>
    <w:rsid w:val="08D53034"/>
    <w:rsid w:val="08D726AC"/>
    <w:rsid w:val="08DA28B3"/>
    <w:rsid w:val="08DD2BEF"/>
    <w:rsid w:val="0903652D"/>
    <w:rsid w:val="090556C6"/>
    <w:rsid w:val="09104DCD"/>
    <w:rsid w:val="0913040F"/>
    <w:rsid w:val="094C40B4"/>
    <w:rsid w:val="095B4A62"/>
    <w:rsid w:val="095E44C6"/>
    <w:rsid w:val="09606948"/>
    <w:rsid w:val="096D7D04"/>
    <w:rsid w:val="096E0D4F"/>
    <w:rsid w:val="09736AE0"/>
    <w:rsid w:val="099C4684"/>
    <w:rsid w:val="09BB6580"/>
    <w:rsid w:val="09C01D0D"/>
    <w:rsid w:val="09D54231"/>
    <w:rsid w:val="09E30E5D"/>
    <w:rsid w:val="09F25D5F"/>
    <w:rsid w:val="09FD5B3B"/>
    <w:rsid w:val="0A1131EF"/>
    <w:rsid w:val="0A141797"/>
    <w:rsid w:val="0A143BE1"/>
    <w:rsid w:val="0A220AAD"/>
    <w:rsid w:val="0A263E9C"/>
    <w:rsid w:val="0A286DFB"/>
    <w:rsid w:val="0A5002F7"/>
    <w:rsid w:val="0A5164D1"/>
    <w:rsid w:val="0A5C7B97"/>
    <w:rsid w:val="0A5E0EE3"/>
    <w:rsid w:val="0A6C43DE"/>
    <w:rsid w:val="0AB5270A"/>
    <w:rsid w:val="0ABC02E8"/>
    <w:rsid w:val="0AC16484"/>
    <w:rsid w:val="0AC85DBB"/>
    <w:rsid w:val="0ACB2015"/>
    <w:rsid w:val="0AD20D5E"/>
    <w:rsid w:val="0AD555AC"/>
    <w:rsid w:val="0AED24FC"/>
    <w:rsid w:val="0B0F4A80"/>
    <w:rsid w:val="0B1B1997"/>
    <w:rsid w:val="0B24532C"/>
    <w:rsid w:val="0B3F6621"/>
    <w:rsid w:val="0B46021F"/>
    <w:rsid w:val="0B4D2A88"/>
    <w:rsid w:val="0B527B25"/>
    <w:rsid w:val="0B5B4CA4"/>
    <w:rsid w:val="0B5E04B4"/>
    <w:rsid w:val="0B5E0983"/>
    <w:rsid w:val="0B5F6A9A"/>
    <w:rsid w:val="0B6A4840"/>
    <w:rsid w:val="0B707256"/>
    <w:rsid w:val="0B7129F9"/>
    <w:rsid w:val="0B744B6D"/>
    <w:rsid w:val="0B7E60C9"/>
    <w:rsid w:val="0B8730CC"/>
    <w:rsid w:val="0B927AF3"/>
    <w:rsid w:val="0B997D22"/>
    <w:rsid w:val="0BA069F6"/>
    <w:rsid w:val="0BA238F9"/>
    <w:rsid w:val="0BB6397D"/>
    <w:rsid w:val="0BC97B63"/>
    <w:rsid w:val="0BCE29C3"/>
    <w:rsid w:val="0BD644F2"/>
    <w:rsid w:val="0BE05B3D"/>
    <w:rsid w:val="0BEB139D"/>
    <w:rsid w:val="0BEF4F2C"/>
    <w:rsid w:val="0BF03462"/>
    <w:rsid w:val="0BF56721"/>
    <w:rsid w:val="0BF606AD"/>
    <w:rsid w:val="0C1E2E71"/>
    <w:rsid w:val="0C2D4BD9"/>
    <w:rsid w:val="0C5161F8"/>
    <w:rsid w:val="0C52360D"/>
    <w:rsid w:val="0C6B5BA9"/>
    <w:rsid w:val="0C6E60F3"/>
    <w:rsid w:val="0C7C1976"/>
    <w:rsid w:val="0C830617"/>
    <w:rsid w:val="0C8D69A8"/>
    <w:rsid w:val="0CA92A55"/>
    <w:rsid w:val="0CAC6DE2"/>
    <w:rsid w:val="0CBA5E3E"/>
    <w:rsid w:val="0CCB3B11"/>
    <w:rsid w:val="0CCB739F"/>
    <w:rsid w:val="0CDE5118"/>
    <w:rsid w:val="0CDE55BC"/>
    <w:rsid w:val="0CDF3914"/>
    <w:rsid w:val="0CE7776D"/>
    <w:rsid w:val="0CEA2CF7"/>
    <w:rsid w:val="0D035130"/>
    <w:rsid w:val="0D0D0439"/>
    <w:rsid w:val="0D205F17"/>
    <w:rsid w:val="0D23336E"/>
    <w:rsid w:val="0D284B82"/>
    <w:rsid w:val="0D2D1208"/>
    <w:rsid w:val="0D3A44E0"/>
    <w:rsid w:val="0D3A5239"/>
    <w:rsid w:val="0D3A7039"/>
    <w:rsid w:val="0D4356A8"/>
    <w:rsid w:val="0D826EB5"/>
    <w:rsid w:val="0D8735F9"/>
    <w:rsid w:val="0D8972A3"/>
    <w:rsid w:val="0D8C24E1"/>
    <w:rsid w:val="0D94436C"/>
    <w:rsid w:val="0D980C13"/>
    <w:rsid w:val="0DAA20C3"/>
    <w:rsid w:val="0DB607B8"/>
    <w:rsid w:val="0DC22600"/>
    <w:rsid w:val="0DC51AC4"/>
    <w:rsid w:val="0DC63EF2"/>
    <w:rsid w:val="0DD75C5E"/>
    <w:rsid w:val="0DE9579A"/>
    <w:rsid w:val="0DE969F5"/>
    <w:rsid w:val="0DFF4B13"/>
    <w:rsid w:val="0E0132C0"/>
    <w:rsid w:val="0E041001"/>
    <w:rsid w:val="0E093416"/>
    <w:rsid w:val="0E0B7894"/>
    <w:rsid w:val="0E0C3E0B"/>
    <w:rsid w:val="0E1F1160"/>
    <w:rsid w:val="0E402695"/>
    <w:rsid w:val="0E4F7F50"/>
    <w:rsid w:val="0E5C591E"/>
    <w:rsid w:val="0E6A704C"/>
    <w:rsid w:val="0E6B4543"/>
    <w:rsid w:val="0E777792"/>
    <w:rsid w:val="0E7B1FCA"/>
    <w:rsid w:val="0E880E39"/>
    <w:rsid w:val="0E920377"/>
    <w:rsid w:val="0E9D025B"/>
    <w:rsid w:val="0EA8225F"/>
    <w:rsid w:val="0ED01837"/>
    <w:rsid w:val="0ED33A29"/>
    <w:rsid w:val="0ED8660B"/>
    <w:rsid w:val="0EF97174"/>
    <w:rsid w:val="0EF97BEC"/>
    <w:rsid w:val="0F0F3D45"/>
    <w:rsid w:val="0F110062"/>
    <w:rsid w:val="0F2550AA"/>
    <w:rsid w:val="0F2B36C0"/>
    <w:rsid w:val="0F3A116B"/>
    <w:rsid w:val="0F4920A4"/>
    <w:rsid w:val="0F4942A2"/>
    <w:rsid w:val="0F4A66BD"/>
    <w:rsid w:val="0F511411"/>
    <w:rsid w:val="0F703346"/>
    <w:rsid w:val="0F80004E"/>
    <w:rsid w:val="0F871EAB"/>
    <w:rsid w:val="0F9D3FD2"/>
    <w:rsid w:val="0F9F1528"/>
    <w:rsid w:val="0FDF5A14"/>
    <w:rsid w:val="0FEA5AC5"/>
    <w:rsid w:val="0FFE2B89"/>
    <w:rsid w:val="0FFF3FF2"/>
    <w:rsid w:val="1008703A"/>
    <w:rsid w:val="10126FBC"/>
    <w:rsid w:val="103809FF"/>
    <w:rsid w:val="106F495E"/>
    <w:rsid w:val="10764104"/>
    <w:rsid w:val="10872D51"/>
    <w:rsid w:val="108A5F33"/>
    <w:rsid w:val="108E01E0"/>
    <w:rsid w:val="108F6F5D"/>
    <w:rsid w:val="1094235B"/>
    <w:rsid w:val="1096068D"/>
    <w:rsid w:val="109F23E5"/>
    <w:rsid w:val="10B951CF"/>
    <w:rsid w:val="10BB3068"/>
    <w:rsid w:val="10CF68EB"/>
    <w:rsid w:val="10D24280"/>
    <w:rsid w:val="10D82C05"/>
    <w:rsid w:val="10D92C55"/>
    <w:rsid w:val="10FC1774"/>
    <w:rsid w:val="10FC7A16"/>
    <w:rsid w:val="110D2C89"/>
    <w:rsid w:val="110E3EB6"/>
    <w:rsid w:val="11131D94"/>
    <w:rsid w:val="111778A8"/>
    <w:rsid w:val="111E4B32"/>
    <w:rsid w:val="1124277B"/>
    <w:rsid w:val="113B4A52"/>
    <w:rsid w:val="114E27DA"/>
    <w:rsid w:val="114E4423"/>
    <w:rsid w:val="115C186C"/>
    <w:rsid w:val="11617971"/>
    <w:rsid w:val="11622F64"/>
    <w:rsid w:val="116F4939"/>
    <w:rsid w:val="117400AF"/>
    <w:rsid w:val="11846297"/>
    <w:rsid w:val="1186164E"/>
    <w:rsid w:val="118660F9"/>
    <w:rsid w:val="1191682E"/>
    <w:rsid w:val="11A4592F"/>
    <w:rsid w:val="11AD4D58"/>
    <w:rsid w:val="11B5691A"/>
    <w:rsid w:val="11B67206"/>
    <w:rsid w:val="11BA4661"/>
    <w:rsid w:val="11BA6A1A"/>
    <w:rsid w:val="11CD19A7"/>
    <w:rsid w:val="11DA456B"/>
    <w:rsid w:val="11E411C4"/>
    <w:rsid w:val="11EE75FC"/>
    <w:rsid w:val="11FA2349"/>
    <w:rsid w:val="120257B2"/>
    <w:rsid w:val="12044AB3"/>
    <w:rsid w:val="120C7685"/>
    <w:rsid w:val="121015B2"/>
    <w:rsid w:val="12277752"/>
    <w:rsid w:val="12342A01"/>
    <w:rsid w:val="12371472"/>
    <w:rsid w:val="12497AD0"/>
    <w:rsid w:val="12502219"/>
    <w:rsid w:val="12533BE9"/>
    <w:rsid w:val="1255374D"/>
    <w:rsid w:val="12563736"/>
    <w:rsid w:val="12605699"/>
    <w:rsid w:val="126548EE"/>
    <w:rsid w:val="12817181"/>
    <w:rsid w:val="12855EBB"/>
    <w:rsid w:val="128A5579"/>
    <w:rsid w:val="12911818"/>
    <w:rsid w:val="129E41E5"/>
    <w:rsid w:val="12AA4BE9"/>
    <w:rsid w:val="12B1333A"/>
    <w:rsid w:val="12C003F7"/>
    <w:rsid w:val="12C7679B"/>
    <w:rsid w:val="12DD774D"/>
    <w:rsid w:val="12E20B88"/>
    <w:rsid w:val="130D494D"/>
    <w:rsid w:val="13202B24"/>
    <w:rsid w:val="13283A05"/>
    <w:rsid w:val="133E4EC4"/>
    <w:rsid w:val="134B7D6A"/>
    <w:rsid w:val="135702FC"/>
    <w:rsid w:val="13581549"/>
    <w:rsid w:val="136404F3"/>
    <w:rsid w:val="137E2663"/>
    <w:rsid w:val="13B61E8E"/>
    <w:rsid w:val="13C23A1B"/>
    <w:rsid w:val="13C76244"/>
    <w:rsid w:val="13CB17CC"/>
    <w:rsid w:val="13CF28FB"/>
    <w:rsid w:val="13DA7C15"/>
    <w:rsid w:val="13E10AD9"/>
    <w:rsid w:val="13EA1322"/>
    <w:rsid w:val="13EA5E5F"/>
    <w:rsid w:val="13F74226"/>
    <w:rsid w:val="140329A8"/>
    <w:rsid w:val="14107AE9"/>
    <w:rsid w:val="14157DFD"/>
    <w:rsid w:val="14175E0A"/>
    <w:rsid w:val="141F1BA5"/>
    <w:rsid w:val="142A2204"/>
    <w:rsid w:val="144E7AE0"/>
    <w:rsid w:val="1452019E"/>
    <w:rsid w:val="145E5A4D"/>
    <w:rsid w:val="1472255F"/>
    <w:rsid w:val="14782396"/>
    <w:rsid w:val="148942E3"/>
    <w:rsid w:val="148B031E"/>
    <w:rsid w:val="14AC25B0"/>
    <w:rsid w:val="14AE0BED"/>
    <w:rsid w:val="14AF303C"/>
    <w:rsid w:val="14BE1377"/>
    <w:rsid w:val="14BE55AD"/>
    <w:rsid w:val="14E52CFF"/>
    <w:rsid w:val="15010F20"/>
    <w:rsid w:val="1502113A"/>
    <w:rsid w:val="151308D4"/>
    <w:rsid w:val="15281376"/>
    <w:rsid w:val="153A74E0"/>
    <w:rsid w:val="15422545"/>
    <w:rsid w:val="15515573"/>
    <w:rsid w:val="156508EF"/>
    <w:rsid w:val="15693006"/>
    <w:rsid w:val="156C0A74"/>
    <w:rsid w:val="15716A99"/>
    <w:rsid w:val="157177C3"/>
    <w:rsid w:val="15755788"/>
    <w:rsid w:val="157F2CB1"/>
    <w:rsid w:val="1581047E"/>
    <w:rsid w:val="15895642"/>
    <w:rsid w:val="15A444EB"/>
    <w:rsid w:val="15A75916"/>
    <w:rsid w:val="15B0540D"/>
    <w:rsid w:val="15B7532E"/>
    <w:rsid w:val="15C30D5B"/>
    <w:rsid w:val="15C84147"/>
    <w:rsid w:val="15C87176"/>
    <w:rsid w:val="15CA017F"/>
    <w:rsid w:val="15D44CB9"/>
    <w:rsid w:val="15D64DE0"/>
    <w:rsid w:val="15D71AD5"/>
    <w:rsid w:val="15D908D7"/>
    <w:rsid w:val="15DC38C2"/>
    <w:rsid w:val="15F23B4A"/>
    <w:rsid w:val="15FC08F6"/>
    <w:rsid w:val="15FF5FA5"/>
    <w:rsid w:val="160339FE"/>
    <w:rsid w:val="16385E17"/>
    <w:rsid w:val="1646133C"/>
    <w:rsid w:val="16535A2F"/>
    <w:rsid w:val="165931D9"/>
    <w:rsid w:val="16682D3E"/>
    <w:rsid w:val="167046E9"/>
    <w:rsid w:val="16707B6C"/>
    <w:rsid w:val="1679566E"/>
    <w:rsid w:val="167E382D"/>
    <w:rsid w:val="16B64EC9"/>
    <w:rsid w:val="16BD5C6B"/>
    <w:rsid w:val="16C14D16"/>
    <w:rsid w:val="16C8771D"/>
    <w:rsid w:val="16DC0535"/>
    <w:rsid w:val="16DC19C3"/>
    <w:rsid w:val="16F31A11"/>
    <w:rsid w:val="16FA20DA"/>
    <w:rsid w:val="17045852"/>
    <w:rsid w:val="17060D55"/>
    <w:rsid w:val="170716B6"/>
    <w:rsid w:val="170F5DE2"/>
    <w:rsid w:val="17152764"/>
    <w:rsid w:val="17203431"/>
    <w:rsid w:val="172C56B5"/>
    <w:rsid w:val="1748083E"/>
    <w:rsid w:val="17553F9F"/>
    <w:rsid w:val="175623CE"/>
    <w:rsid w:val="175D0E4A"/>
    <w:rsid w:val="175E2809"/>
    <w:rsid w:val="176538DA"/>
    <w:rsid w:val="17787D90"/>
    <w:rsid w:val="1794775D"/>
    <w:rsid w:val="17B11330"/>
    <w:rsid w:val="17C376AD"/>
    <w:rsid w:val="17CB4905"/>
    <w:rsid w:val="17D01F3A"/>
    <w:rsid w:val="17DC7DAF"/>
    <w:rsid w:val="17DF40F7"/>
    <w:rsid w:val="180E4FC5"/>
    <w:rsid w:val="18171331"/>
    <w:rsid w:val="181F3A21"/>
    <w:rsid w:val="182B7833"/>
    <w:rsid w:val="18396192"/>
    <w:rsid w:val="184A4BE3"/>
    <w:rsid w:val="18500258"/>
    <w:rsid w:val="185060EC"/>
    <w:rsid w:val="185136D2"/>
    <w:rsid w:val="18543427"/>
    <w:rsid w:val="18545FAF"/>
    <w:rsid w:val="18576923"/>
    <w:rsid w:val="185A42FA"/>
    <w:rsid w:val="18870C54"/>
    <w:rsid w:val="189D2207"/>
    <w:rsid w:val="18A45C40"/>
    <w:rsid w:val="18CA2CBB"/>
    <w:rsid w:val="18D57338"/>
    <w:rsid w:val="18D6054D"/>
    <w:rsid w:val="18DA3216"/>
    <w:rsid w:val="18E96032"/>
    <w:rsid w:val="18EE62E8"/>
    <w:rsid w:val="18F93D3B"/>
    <w:rsid w:val="18F96461"/>
    <w:rsid w:val="18FF308F"/>
    <w:rsid w:val="19094BBF"/>
    <w:rsid w:val="19116F8E"/>
    <w:rsid w:val="194E6691"/>
    <w:rsid w:val="19551A74"/>
    <w:rsid w:val="195942F0"/>
    <w:rsid w:val="195F7D63"/>
    <w:rsid w:val="196A5FC1"/>
    <w:rsid w:val="196B18E4"/>
    <w:rsid w:val="197A625B"/>
    <w:rsid w:val="197C2433"/>
    <w:rsid w:val="19852141"/>
    <w:rsid w:val="19933139"/>
    <w:rsid w:val="199C0571"/>
    <w:rsid w:val="19A370D2"/>
    <w:rsid w:val="19AC4F46"/>
    <w:rsid w:val="19BD7FCA"/>
    <w:rsid w:val="19C83DDC"/>
    <w:rsid w:val="19D57461"/>
    <w:rsid w:val="19E5590B"/>
    <w:rsid w:val="19E74602"/>
    <w:rsid w:val="19EE7D0B"/>
    <w:rsid w:val="1A077D86"/>
    <w:rsid w:val="1A085685"/>
    <w:rsid w:val="1A191F3E"/>
    <w:rsid w:val="1A237B53"/>
    <w:rsid w:val="1A342071"/>
    <w:rsid w:val="1A477B50"/>
    <w:rsid w:val="1A5163D6"/>
    <w:rsid w:val="1A54768F"/>
    <w:rsid w:val="1A5A669E"/>
    <w:rsid w:val="1A706484"/>
    <w:rsid w:val="1A751CA9"/>
    <w:rsid w:val="1A796C32"/>
    <w:rsid w:val="1A9B6333"/>
    <w:rsid w:val="1AA11028"/>
    <w:rsid w:val="1AB623A5"/>
    <w:rsid w:val="1AB9028C"/>
    <w:rsid w:val="1AB91166"/>
    <w:rsid w:val="1ABD699B"/>
    <w:rsid w:val="1AC56317"/>
    <w:rsid w:val="1AD6319E"/>
    <w:rsid w:val="1ADC0670"/>
    <w:rsid w:val="1AE47B80"/>
    <w:rsid w:val="1B176C50"/>
    <w:rsid w:val="1B455918"/>
    <w:rsid w:val="1B4B651F"/>
    <w:rsid w:val="1B603B7C"/>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C1D36F1"/>
    <w:rsid w:val="1C1F1D32"/>
    <w:rsid w:val="1C200EAE"/>
    <w:rsid w:val="1C291BAA"/>
    <w:rsid w:val="1C386892"/>
    <w:rsid w:val="1C3A035E"/>
    <w:rsid w:val="1C4A2683"/>
    <w:rsid w:val="1C502501"/>
    <w:rsid w:val="1C5F292D"/>
    <w:rsid w:val="1C5F3B2B"/>
    <w:rsid w:val="1C631E26"/>
    <w:rsid w:val="1C743F21"/>
    <w:rsid w:val="1C7530BF"/>
    <w:rsid w:val="1C83150F"/>
    <w:rsid w:val="1C8361D3"/>
    <w:rsid w:val="1C933922"/>
    <w:rsid w:val="1C954E9B"/>
    <w:rsid w:val="1CBB1BB0"/>
    <w:rsid w:val="1CBC5611"/>
    <w:rsid w:val="1CCB7770"/>
    <w:rsid w:val="1CD22EF6"/>
    <w:rsid w:val="1CD7177C"/>
    <w:rsid w:val="1CE17872"/>
    <w:rsid w:val="1CF005FD"/>
    <w:rsid w:val="1CF6531E"/>
    <w:rsid w:val="1CF73467"/>
    <w:rsid w:val="1D0B195E"/>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E004D92"/>
    <w:rsid w:val="1E167557"/>
    <w:rsid w:val="1E2503B1"/>
    <w:rsid w:val="1E302A17"/>
    <w:rsid w:val="1E4719A3"/>
    <w:rsid w:val="1E551952"/>
    <w:rsid w:val="1E5F1F97"/>
    <w:rsid w:val="1E6C5F4E"/>
    <w:rsid w:val="1E755015"/>
    <w:rsid w:val="1E944CBA"/>
    <w:rsid w:val="1E974B7D"/>
    <w:rsid w:val="1EA42272"/>
    <w:rsid w:val="1EA65561"/>
    <w:rsid w:val="1EAD4127"/>
    <w:rsid w:val="1EB70BD9"/>
    <w:rsid w:val="1EB8797A"/>
    <w:rsid w:val="1EE142F9"/>
    <w:rsid w:val="1EEC719E"/>
    <w:rsid w:val="1EEE2F09"/>
    <w:rsid w:val="1EF7018A"/>
    <w:rsid w:val="1F0242AA"/>
    <w:rsid w:val="1F044236"/>
    <w:rsid w:val="1F0813F5"/>
    <w:rsid w:val="1F08757A"/>
    <w:rsid w:val="1F111D05"/>
    <w:rsid w:val="1F14362A"/>
    <w:rsid w:val="1F25251D"/>
    <w:rsid w:val="1F2B5438"/>
    <w:rsid w:val="1F390590"/>
    <w:rsid w:val="1F424A01"/>
    <w:rsid w:val="1F4B0BE5"/>
    <w:rsid w:val="1F4C33CB"/>
    <w:rsid w:val="1F4C6748"/>
    <w:rsid w:val="1F560F2F"/>
    <w:rsid w:val="1F595467"/>
    <w:rsid w:val="1F5B2F4F"/>
    <w:rsid w:val="1F5C06A1"/>
    <w:rsid w:val="1F774357"/>
    <w:rsid w:val="1F7D4C37"/>
    <w:rsid w:val="1F85321F"/>
    <w:rsid w:val="1FA52B02"/>
    <w:rsid w:val="1FA93A51"/>
    <w:rsid w:val="1FB80942"/>
    <w:rsid w:val="1FBB5482"/>
    <w:rsid w:val="1FCE373D"/>
    <w:rsid w:val="2001262E"/>
    <w:rsid w:val="200D64BE"/>
    <w:rsid w:val="20153599"/>
    <w:rsid w:val="201B2789"/>
    <w:rsid w:val="20214DF0"/>
    <w:rsid w:val="20256516"/>
    <w:rsid w:val="20584BED"/>
    <w:rsid w:val="207F7CDD"/>
    <w:rsid w:val="20A4578F"/>
    <w:rsid w:val="20BC55C4"/>
    <w:rsid w:val="20BF1816"/>
    <w:rsid w:val="20CA6414"/>
    <w:rsid w:val="20D40A6C"/>
    <w:rsid w:val="20D60AAE"/>
    <w:rsid w:val="20D94EF4"/>
    <w:rsid w:val="21046ABD"/>
    <w:rsid w:val="21061BA2"/>
    <w:rsid w:val="2121427E"/>
    <w:rsid w:val="21262CBA"/>
    <w:rsid w:val="212B1C97"/>
    <w:rsid w:val="21361FB5"/>
    <w:rsid w:val="214B3D89"/>
    <w:rsid w:val="2154483D"/>
    <w:rsid w:val="21575426"/>
    <w:rsid w:val="215C1F77"/>
    <w:rsid w:val="216C7D5C"/>
    <w:rsid w:val="2177769E"/>
    <w:rsid w:val="217C4489"/>
    <w:rsid w:val="21A93954"/>
    <w:rsid w:val="21AF7109"/>
    <w:rsid w:val="21D13E07"/>
    <w:rsid w:val="21D25FF2"/>
    <w:rsid w:val="21D35B8A"/>
    <w:rsid w:val="21D5280D"/>
    <w:rsid w:val="21EB6B55"/>
    <w:rsid w:val="21F70210"/>
    <w:rsid w:val="22110474"/>
    <w:rsid w:val="221A4505"/>
    <w:rsid w:val="221E0187"/>
    <w:rsid w:val="22344A9E"/>
    <w:rsid w:val="22363269"/>
    <w:rsid w:val="223C2DAF"/>
    <w:rsid w:val="223E2651"/>
    <w:rsid w:val="224E39C0"/>
    <w:rsid w:val="226575C4"/>
    <w:rsid w:val="22682C5C"/>
    <w:rsid w:val="226D3EEA"/>
    <w:rsid w:val="226E077B"/>
    <w:rsid w:val="22800451"/>
    <w:rsid w:val="228935B5"/>
    <w:rsid w:val="22923DE9"/>
    <w:rsid w:val="22973417"/>
    <w:rsid w:val="229D5794"/>
    <w:rsid w:val="22AD1241"/>
    <w:rsid w:val="22AF6202"/>
    <w:rsid w:val="22BE600E"/>
    <w:rsid w:val="22C17DB5"/>
    <w:rsid w:val="22C32593"/>
    <w:rsid w:val="22C629AC"/>
    <w:rsid w:val="22D6244E"/>
    <w:rsid w:val="22DD27AA"/>
    <w:rsid w:val="22E96F92"/>
    <w:rsid w:val="22F7746D"/>
    <w:rsid w:val="23060CEA"/>
    <w:rsid w:val="230D3451"/>
    <w:rsid w:val="230E5678"/>
    <w:rsid w:val="23257653"/>
    <w:rsid w:val="23346FCE"/>
    <w:rsid w:val="23441FFA"/>
    <w:rsid w:val="234B3276"/>
    <w:rsid w:val="23603619"/>
    <w:rsid w:val="23626207"/>
    <w:rsid w:val="23773623"/>
    <w:rsid w:val="2377693D"/>
    <w:rsid w:val="239C0243"/>
    <w:rsid w:val="239F724D"/>
    <w:rsid w:val="23A1050D"/>
    <w:rsid w:val="23A14082"/>
    <w:rsid w:val="23AB1721"/>
    <w:rsid w:val="23B11FB2"/>
    <w:rsid w:val="23BD1C54"/>
    <w:rsid w:val="23D90902"/>
    <w:rsid w:val="23DA1C5E"/>
    <w:rsid w:val="23EF0BE1"/>
    <w:rsid w:val="23FA709A"/>
    <w:rsid w:val="24002E5E"/>
    <w:rsid w:val="24146117"/>
    <w:rsid w:val="24232DE5"/>
    <w:rsid w:val="2424697F"/>
    <w:rsid w:val="243E0DB0"/>
    <w:rsid w:val="244A408C"/>
    <w:rsid w:val="245A6743"/>
    <w:rsid w:val="246A08B9"/>
    <w:rsid w:val="24754B15"/>
    <w:rsid w:val="247F64CC"/>
    <w:rsid w:val="248D420D"/>
    <w:rsid w:val="24921B27"/>
    <w:rsid w:val="24A0121D"/>
    <w:rsid w:val="24B0652D"/>
    <w:rsid w:val="24B97631"/>
    <w:rsid w:val="24C90419"/>
    <w:rsid w:val="24CC6FAC"/>
    <w:rsid w:val="24D24D56"/>
    <w:rsid w:val="24E2407F"/>
    <w:rsid w:val="24E32289"/>
    <w:rsid w:val="24ED1C1E"/>
    <w:rsid w:val="24F0284D"/>
    <w:rsid w:val="24F039A5"/>
    <w:rsid w:val="250E20E4"/>
    <w:rsid w:val="25202C91"/>
    <w:rsid w:val="252331A5"/>
    <w:rsid w:val="252733A0"/>
    <w:rsid w:val="252A6107"/>
    <w:rsid w:val="253B3A36"/>
    <w:rsid w:val="253C4214"/>
    <w:rsid w:val="25425A19"/>
    <w:rsid w:val="25490B3E"/>
    <w:rsid w:val="25585952"/>
    <w:rsid w:val="25667D90"/>
    <w:rsid w:val="256E6C47"/>
    <w:rsid w:val="256F1A53"/>
    <w:rsid w:val="258B2F2B"/>
    <w:rsid w:val="258B31A0"/>
    <w:rsid w:val="25952D2E"/>
    <w:rsid w:val="25AB3D1C"/>
    <w:rsid w:val="25AC53DC"/>
    <w:rsid w:val="25C40884"/>
    <w:rsid w:val="25C73A07"/>
    <w:rsid w:val="25CB7FC0"/>
    <w:rsid w:val="25D30AA5"/>
    <w:rsid w:val="25D90A1B"/>
    <w:rsid w:val="25DC0129"/>
    <w:rsid w:val="25DF10AE"/>
    <w:rsid w:val="25DF4931"/>
    <w:rsid w:val="25E22192"/>
    <w:rsid w:val="25F332FF"/>
    <w:rsid w:val="25FE37D6"/>
    <w:rsid w:val="260E417C"/>
    <w:rsid w:val="26274BB6"/>
    <w:rsid w:val="26356536"/>
    <w:rsid w:val="264B61DF"/>
    <w:rsid w:val="266853CB"/>
    <w:rsid w:val="266F2B89"/>
    <w:rsid w:val="268B243A"/>
    <w:rsid w:val="26912919"/>
    <w:rsid w:val="269C627F"/>
    <w:rsid w:val="26AA20D3"/>
    <w:rsid w:val="26AA327D"/>
    <w:rsid w:val="26AA349C"/>
    <w:rsid w:val="26B43DCE"/>
    <w:rsid w:val="26C705B0"/>
    <w:rsid w:val="26CB5833"/>
    <w:rsid w:val="26D251BE"/>
    <w:rsid w:val="26DB01F5"/>
    <w:rsid w:val="26DD3B73"/>
    <w:rsid w:val="26E444A5"/>
    <w:rsid w:val="26E576C7"/>
    <w:rsid w:val="26F04260"/>
    <w:rsid w:val="26F81EB4"/>
    <w:rsid w:val="26F97547"/>
    <w:rsid w:val="26FB2F1B"/>
    <w:rsid w:val="27272F86"/>
    <w:rsid w:val="272D45D3"/>
    <w:rsid w:val="27310A5B"/>
    <w:rsid w:val="27310B9A"/>
    <w:rsid w:val="273E1C11"/>
    <w:rsid w:val="275265C3"/>
    <w:rsid w:val="276B112C"/>
    <w:rsid w:val="27815619"/>
    <w:rsid w:val="279E2679"/>
    <w:rsid w:val="279F554C"/>
    <w:rsid w:val="27C25618"/>
    <w:rsid w:val="27D65541"/>
    <w:rsid w:val="27E50C24"/>
    <w:rsid w:val="27EC5FCE"/>
    <w:rsid w:val="280F0449"/>
    <w:rsid w:val="28183270"/>
    <w:rsid w:val="281C0F13"/>
    <w:rsid w:val="281F24B4"/>
    <w:rsid w:val="285E7D99"/>
    <w:rsid w:val="286651CF"/>
    <w:rsid w:val="28671C46"/>
    <w:rsid w:val="28786555"/>
    <w:rsid w:val="2897657D"/>
    <w:rsid w:val="28AB19F4"/>
    <w:rsid w:val="28BD3A65"/>
    <w:rsid w:val="28BD5FE3"/>
    <w:rsid w:val="28D71E0B"/>
    <w:rsid w:val="28DC39BE"/>
    <w:rsid w:val="28DD5BCB"/>
    <w:rsid w:val="28E01F8A"/>
    <w:rsid w:val="28F045AC"/>
    <w:rsid w:val="290E63C8"/>
    <w:rsid w:val="291B318A"/>
    <w:rsid w:val="291D583E"/>
    <w:rsid w:val="293723B4"/>
    <w:rsid w:val="293A5EAD"/>
    <w:rsid w:val="294157AB"/>
    <w:rsid w:val="29602BC4"/>
    <w:rsid w:val="299629CF"/>
    <w:rsid w:val="299760C7"/>
    <w:rsid w:val="2999350D"/>
    <w:rsid w:val="299E7E78"/>
    <w:rsid w:val="29A604F9"/>
    <w:rsid w:val="29B759BC"/>
    <w:rsid w:val="29C00DB7"/>
    <w:rsid w:val="29D60A95"/>
    <w:rsid w:val="29D94FA1"/>
    <w:rsid w:val="29E31604"/>
    <w:rsid w:val="29F87E04"/>
    <w:rsid w:val="29F93602"/>
    <w:rsid w:val="2A113092"/>
    <w:rsid w:val="2A1A7BC7"/>
    <w:rsid w:val="2A1E01A9"/>
    <w:rsid w:val="2A1E4926"/>
    <w:rsid w:val="2A2D73EC"/>
    <w:rsid w:val="2A2E4CEB"/>
    <w:rsid w:val="2A3B565F"/>
    <w:rsid w:val="2A4A3088"/>
    <w:rsid w:val="2A532C05"/>
    <w:rsid w:val="2A5D0C96"/>
    <w:rsid w:val="2A653259"/>
    <w:rsid w:val="2A8F4841"/>
    <w:rsid w:val="2A9E3ECC"/>
    <w:rsid w:val="2AA270FE"/>
    <w:rsid w:val="2AA369DD"/>
    <w:rsid w:val="2AD06022"/>
    <w:rsid w:val="2AD63975"/>
    <w:rsid w:val="2ADD1B0D"/>
    <w:rsid w:val="2AEC47FC"/>
    <w:rsid w:val="2AF1331E"/>
    <w:rsid w:val="2AF46F08"/>
    <w:rsid w:val="2AF81BE3"/>
    <w:rsid w:val="2AFF23A5"/>
    <w:rsid w:val="2B176F87"/>
    <w:rsid w:val="2B3548BD"/>
    <w:rsid w:val="2B361003"/>
    <w:rsid w:val="2B3762A6"/>
    <w:rsid w:val="2B3C6641"/>
    <w:rsid w:val="2B4A27A4"/>
    <w:rsid w:val="2B5567FE"/>
    <w:rsid w:val="2B5B0F6E"/>
    <w:rsid w:val="2B792D84"/>
    <w:rsid w:val="2B925FDF"/>
    <w:rsid w:val="2B967502"/>
    <w:rsid w:val="2B9970F1"/>
    <w:rsid w:val="2BB74A47"/>
    <w:rsid w:val="2BE501C7"/>
    <w:rsid w:val="2BE57DB5"/>
    <w:rsid w:val="2BEA2DF9"/>
    <w:rsid w:val="2BEC2FB4"/>
    <w:rsid w:val="2BED2E55"/>
    <w:rsid w:val="2C1738CF"/>
    <w:rsid w:val="2C1945D8"/>
    <w:rsid w:val="2C297CFC"/>
    <w:rsid w:val="2C2C74D6"/>
    <w:rsid w:val="2C3E23A2"/>
    <w:rsid w:val="2C4E7E38"/>
    <w:rsid w:val="2C5113C3"/>
    <w:rsid w:val="2C6C7918"/>
    <w:rsid w:val="2C783906"/>
    <w:rsid w:val="2C900878"/>
    <w:rsid w:val="2C9E472D"/>
    <w:rsid w:val="2CB5787B"/>
    <w:rsid w:val="2CC43900"/>
    <w:rsid w:val="2CCA4381"/>
    <w:rsid w:val="2CD30F03"/>
    <w:rsid w:val="2CD66FAA"/>
    <w:rsid w:val="2CEA4162"/>
    <w:rsid w:val="2CF249BE"/>
    <w:rsid w:val="2CF710E3"/>
    <w:rsid w:val="2CFC1554"/>
    <w:rsid w:val="2CFF3512"/>
    <w:rsid w:val="2D0333E4"/>
    <w:rsid w:val="2D0B7148"/>
    <w:rsid w:val="2D17770B"/>
    <w:rsid w:val="2D354DCA"/>
    <w:rsid w:val="2D3E7D46"/>
    <w:rsid w:val="2D6D74B7"/>
    <w:rsid w:val="2D6E6943"/>
    <w:rsid w:val="2D7E4AF7"/>
    <w:rsid w:val="2D8404BB"/>
    <w:rsid w:val="2D8519AC"/>
    <w:rsid w:val="2D87777E"/>
    <w:rsid w:val="2D8E349F"/>
    <w:rsid w:val="2D9469E6"/>
    <w:rsid w:val="2D9D7A77"/>
    <w:rsid w:val="2DAA08E0"/>
    <w:rsid w:val="2DAF78FF"/>
    <w:rsid w:val="2DD93F77"/>
    <w:rsid w:val="2DDA3448"/>
    <w:rsid w:val="2DDC694B"/>
    <w:rsid w:val="2DDE7A41"/>
    <w:rsid w:val="2DEF20F0"/>
    <w:rsid w:val="2E041306"/>
    <w:rsid w:val="2E06778F"/>
    <w:rsid w:val="2E087703"/>
    <w:rsid w:val="2E106E4C"/>
    <w:rsid w:val="2E194231"/>
    <w:rsid w:val="2E4C211D"/>
    <w:rsid w:val="2E4D7F49"/>
    <w:rsid w:val="2E4E05E7"/>
    <w:rsid w:val="2E4E1129"/>
    <w:rsid w:val="2E5B5EA2"/>
    <w:rsid w:val="2E6446EB"/>
    <w:rsid w:val="2E697834"/>
    <w:rsid w:val="2E6B07B8"/>
    <w:rsid w:val="2E7F0E61"/>
    <w:rsid w:val="2E7F686F"/>
    <w:rsid w:val="2E870765"/>
    <w:rsid w:val="2E8753CE"/>
    <w:rsid w:val="2E8D0791"/>
    <w:rsid w:val="2E9B39A1"/>
    <w:rsid w:val="2EAA702B"/>
    <w:rsid w:val="2ECD1756"/>
    <w:rsid w:val="2EDD3F6F"/>
    <w:rsid w:val="2F047EE8"/>
    <w:rsid w:val="2F085C75"/>
    <w:rsid w:val="2F2B12A9"/>
    <w:rsid w:val="2F3606B5"/>
    <w:rsid w:val="2F3A210B"/>
    <w:rsid w:val="2F3C4BFB"/>
    <w:rsid w:val="2F471420"/>
    <w:rsid w:val="2F626907"/>
    <w:rsid w:val="2F6B4720"/>
    <w:rsid w:val="2F956224"/>
    <w:rsid w:val="2FA11189"/>
    <w:rsid w:val="2FA23A7C"/>
    <w:rsid w:val="2FA30525"/>
    <w:rsid w:val="2FA44159"/>
    <w:rsid w:val="2FAD2A35"/>
    <w:rsid w:val="2FB449B9"/>
    <w:rsid w:val="2FBC113D"/>
    <w:rsid w:val="2FC73BC7"/>
    <w:rsid w:val="2FD33F66"/>
    <w:rsid w:val="2FD408E0"/>
    <w:rsid w:val="2FE311E4"/>
    <w:rsid w:val="2FF608DC"/>
    <w:rsid w:val="2FF71222"/>
    <w:rsid w:val="2FFD3FAC"/>
    <w:rsid w:val="3004586C"/>
    <w:rsid w:val="300B6218"/>
    <w:rsid w:val="30160ACC"/>
    <w:rsid w:val="302651B2"/>
    <w:rsid w:val="3045081F"/>
    <w:rsid w:val="304A119D"/>
    <w:rsid w:val="305D69EA"/>
    <w:rsid w:val="306825DD"/>
    <w:rsid w:val="30834BF9"/>
    <w:rsid w:val="308974AE"/>
    <w:rsid w:val="30944718"/>
    <w:rsid w:val="30945B60"/>
    <w:rsid w:val="3096076B"/>
    <w:rsid w:val="30B978AD"/>
    <w:rsid w:val="30C01078"/>
    <w:rsid w:val="30CF0FD9"/>
    <w:rsid w:val="30CF5A24"/>
    <w:rsid w:val="30D20E0C"/>
    <w:rsid w:val="30E42C41"/>
    <w:rsid w:val="30F34FAE"/>
    <w:rsid w:val="312234DF"/>
    <w:rsid w:val="3133127A"/>
    <w:rsid w:val="31353CD7"/>
    <w:rsid w:val="313E620E"/>
    <w:rsid w:val="313E6CDE"/>
    <w:rsid w:val="313F3759"/>
    <w:rsid w:val="31416C5C"/>
    <w:rsid w:val="314E2D58"/>
    <w:rsid w:val="31727F68"/>
    <w:rsid w:val="317662E9"/>
    <w:rsid w:val="31907F15"/>
    <w:rsid w:val="31954796"/>
    <w:rsid w:val="31962DAE"/>
    <w:rsid w:val="319F0073"/>
    <w:rsid w:val="31B9498A"/>
    <w:rsid w:val="31C74937"/>
    <w:rsid w:val="31CB6BC1"/>
    <w:rsid w:val="31CE7B45"/>
    <w:rsid w:val="31DD48DC"/>
    <w:rsid w:val="31E60453"/>
    <w:rsid w:val="32044DED"/>
    <w:rsid w:val="320C562E"/>
    <w:rsid w:val="3215767E"/>
    <w:rsid w:val="322566A5"/>
    <w:rsid w:val="32327738"/>
    <w:rsid w:val="32331A68"/>
    <w:rsid w:val="323F70E3"/>
    <w:rsid w:val="32414601"/>
    <w:rsid w:val="324B22D2"/>
    <w:rsid w:val="32575E9A"/>
    <w:rsid w:val="325C3AF5"/>
    <w:rsid w:val="3262622A"/>
    <w:rsid w:val="327506A5"/>
    <w:rsid w:val="327A0FE8"/>
    <w:rsid w:val="329F684F"/>
    <w:rsid w:val="32B26B6D"/>
    <w:rsid w:val="32C92CF9"/>
    <w:rsid w:val="32CC0FF0"/>
    <w:rsid w:val="32DF7982"/>
    <w:rsid w:val="32E20907"/>
    <w:rsid w:val="32F96ACA"/>
    <w:rsid w:val="330258B3"/>
    <w:rsid w:val="33054642"/>
    <w:rsid w:val="330C7AAB"/>
    <w:rsid w:val="33106E3B"/>
    <w:rsid w:val="332F0A06"/>
    <w:rsid w:val="33301D0B"/>
    <w:rsid w:val="333E4968"/>
    <w:rsid w:val="336114D2"/>
    <w:rsid w:val="337E28B4"/>
    <w:rsid w:val="338A0241"/>
    <w:rsid w:val="33951969"/>
    <w:rsid w:val="339B5E01"/>
    <w:rsid w:val="33A23634"/>
    <w:rsid w:val="33A31D7A"/>
    <w:rsid w:val="33A6539B"/>
    <w:rsid w:val="33A84E4D"/>
    <w:rsid w:val="33D163EF"/>
    <w:rsid w:val="33D45DFD"/>
    <w:rsid w:val="33D74339"/>
    <w:rsid w:val="33E605A3"/>
    <w:rsid w:val="33E706E6"/>
    <w:rsid w:val="33F14703"/>
    <w:rsid w:val="33F7797D"/>
    <w:rsid w:val="3406027F"/>
    <w:rsid w:val="343E4026"/>
    <w:rsid w:val="345B2367"/>
    <w:rsid w:val="34841338"/>
    <w:rsid w:val="348B5095"/>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7609F"/>
    <w:rsid w:val="350960B1"/>
    <w:rsid w:val="35150114"/>
    <w:rsid w:val="35217336"/>
    <w:rsid w:val="35290A77"/>
    <w:rsid w:val="352A0B4B"/>
    <w:rsid w:val="352F7D57"/>
    <w:rsid w:val="35356F10"/>
    <w:rsid w:val="35362DCA"/>
    <w:rsid w:val="354840CB"/>
    <w:rsid w:val="35564C7D"/>
    <w:rsid w:val="355C013C"/>
    <w:rsid w:val="35653EA9"/>
    <w:rsid w:val="3565420B"/>
    <w:rsid w:val="356A5BBA"/>
    <w:rsid w:val="356A601B"/>
    <w:rsid w:val="356E60EB"/>
    <w:rsid w:val="35825C91"/>
    <w:rsid w:val="35832189"/>
    <w:rsid w:val="3583595D"/>
    <w:rsid w:val="35841013"/>
    <w:rsid w:val="358B79C9"/>
    <w:rsid w:val="35934427"/>
    <w:rsid w:val="359A00B9"/>
    <w:rsid w:val="35AF56A8"/>
    <w:rsid w:val="35C72C49"/>
    <w:rsid w:val="35F73AA1"/>
    <w:rsid w:val="35F853BB"/>
    <w:rsid w:val="35FB1676"/>
    <w:rsid w:val="36052B94"/>
    <w:rsid w:val="36101CF6"/>
    <w:rsid w:val="361526DE"/>
    <w:rsid w:val="36225127"/>
    <w:rsid w:val="36237E20"/>
    <w:rsid w:val="362551E1"/>
    <w:rsid w:val="36286678"/>
    <w:rsid w:val="36371F41"/>
    <w:rsid w:val="363803C7"/>
    <w:rsid w:val="364D4D97"/>
    <w:rsid w:val="367620D2"/>
    <w:rsid w:val="3689139F"/>
    <w:rsid w:val="369608CE"/>
    <w:rsid w:val="369B2954"/>
    <w:rsid w:val="36A30297"/>
    <w:rsid w:val="36A77D38"/>
    <w:rsid w:val="36C1037B"/>
    <w:rsid w:val="36D067A6"/>
    <w:rsid w:val="36D4011D"/>
    <w:rsid w:val="36E865A3"/>
    <w:rsid w:val="37070D11"/>
    <w:rsid w:val="37201F64"/>
    <w:rsid w:val="373F53DD"/>
    <w:rsid w:val="374C04C6"/>
    <w:rsid w:val="375948AC"/>
    <w:rsid w:val="376B28D6"/>
    <w:rsid w:val="376C0D7B"/>
    <w:rsid w:val="376C5D00"/>
    <w:rsid w:val="376E276D"/>
    <w:rsid w:val="37A04E93"/>
    <w:rsid w:val="37AA5D9B"/>
    <w:rsid w:val="37C6420E"/>
    <w:rsid w:val="37D22ED3"/>
    <w:rsid w:val="37EA0A17"/>
    <w:rsid w:val="380A7603"/>
    <w:rsid w:val="380B0BB2"/>
    <w:rsid w:val="380D32F1"/>
    <w:rsid w:val="380D5D0D"/>
    <w:rsid w:val="38243947"/>
    <w:rsid w:val="38277161"/>
    <w:rsid w:val="382F1B72"/>
    <w:rsid w:val="382F2C1E"/>
    <w:rsid w:val="3871463E"/>
    <w:rsid w:val="38716CD9"/>
    <w:rsid w:val="38801C6C"/>
    <w:rsid w:val="38851608"/>
    <w:rsid w:val="38955725"/>
    <w:rsid w:val="389F2071"/>
    <w:rsid w:val="38A45712"/>
    <w:rsid w:val="38A47DD9"/>
    <w:rsid w:val="38B03BEB"/>
    <w:rsid w:val="38B04451"/>
    <w:rsid w:val="38CC35B4"/>
    <w:rsid w:val="38D10166"/>
    <w:rsid w:val="38F103FB"/>
    <w:rsid w:val="39207FD2"/>
    <w:rsid w:val="392E645D"/>
    <w:rsid w:val="3933207C"/>
    <w:rsid w:val="39341BE2"/>
    <w:rsid w:val="393947EE"/>
    <w:rsid w:val="394B37F2"/>
    <w:rsid w:val="394E0F10"/>
    <w:rsid w:val="39532C2F"/>
    <w:rsid w:val="39756BD2"/>
    <w:rsid w:val="39985F30"/>
    <w:rsid w:val="39AF23DC"/>
    <w:rsid w:val="39D3500A"/>
    <w:rsid w:val="39D620EE"/>
    <w:rsid w:val="39D96419"/>
    <w:rsid w:val="39E55169"/>
    <w:rsid w:val="39E84553"/>
    <w:rsid w:val="39F4018B"/>
    <w:rsid w:val="39F72E22"/>
    <w:rsid w:val="39FA16F9"/>
    <w:rsid w:val="3A094E52"/>
    <w:rsid w:val="3A174971"/>
    <w:rsid w:val="3A273045"/>
    <w:rsid w:val="3A351385"/>
    <w:rsid w:val="3A3E4729"/>
    <w:rsid w:val="3A675D63"/>
    <w:rsid w:val="3A7A647F"/>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366832"/>
    <w:rsid w:val="3B47510C"/>
    <w:rsid w:val="3B4C622A"/>
    <w:rsid w:val="3B634927"/>
    <w:rsid w:val="3B6C16EB"/>
    <w:rsid w:val="3B7F36AC"/>
    <w:rsid w:val="3B822235"/>
    <w:rsid w:val="3B861D2E"/>
    <w:rsid w:val="3B937808"/>
    <w:rsid w:val="3BC25680"/>
    <w:rsid w:val="3BC83BA3"/>
    <w:rsid w:val="3BD653F5"/>
    <w:rsid w:val="3BE16ECF"/>
    <w:rsid w:val="3BED0FCA"/>
    <w:rsid w:val="3BF9665A"/>
    <w:rsid w:val="3C112CD7"/>
    <w:rsid w:val="3C211965"/>
    <w:rsid w:val="3C226C56"/>
    <w:rsid w:val="3C4B0ED5"/>
    <w:rsid w:val="3C5C4417"/>
    <w:rsid w:val="3C650224"/>
    <w:rsid w:val="3C6C2EB8"/>
    <w:rsid w:val="3C792216"/>
    <w:rsid w:val="3C8D17F0"/>
    <w:rsid w:val="3C911941"/>
    <w:rsid w:val="3CA91418"/>
    <w:rsid w:val="3CAD34C9"/>
    <w:rsid w:val="3CB15451"/>
    <w:rsid w:val="3CB8015D"/>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876DDA"/>
    <w:rsid w:val="3D8C35CB"/>
    <w:rsid w:val="3D8E5ECA"/>
    <w:rsid w:val="3DA6750A"/>
    <w:rsid w:val="3DB21166"/>
    <w:rsid w:val="3DB52FFB"/>
    <w:rsid w:val="3DB8539D"/>
    <w:rsid w:val="3DB932B8"/>
    <w:rsid w:val="3DCE5EF9"/>
    <w:rsid w:val="3DDF3C84"/>
    <w:rsid w:val="3DF17D30"/>
    <w:rsid w:val="3DF55B8D"/>
    <w:rsid w:val="3DF740D2"/>
    <w:rsid w:val="3E18436C"/>
    <w:rsid w:val="3E195A9F"/>
    <w:rsid w:val="3E2942BE"/>
    <w:rsid w:val="3E300439"/>
    <w:rsid w:val="3E320B89"/>
    <w:rsid w:val="3E3906BC"/>
    <w:rsid w:val="3E462526"/>
    <w:rsid w:val="3E5648B2"/>
    <w:rsid w:val="3E5709F3"/>
    <w:rsid w:val="3E667CEF"/>
    <w:rsid w:val="3E684241"/>
    <w:rsid w:val="3E75521D"/>
    <w:rsid w:val="3E83245B"/>
    <w:rsid w:val="3E8412E9"/>
    <w:rsid w:val="3E9328AF"/>
    <w:rsid w:val="3EBC27E6"/>
    <w:rsid w:val="3EC46403"/>
    <w:rsid w:val="3EDC10D0"/>
    <w:rsid w:val="3EE10368"/>
    <w:rsid w:val="3EEE2BBE"/>
    <w:rsid w:val="3EF13BC7"/>
    <w:rsid w:val="3EF53D00"/>
    <w:rsid w:val="3EF94FFC"/>
    <w:rsid w:val="3F0C4369"/>
    <w:rsid w:val="3F2F53AA"/>
    <w:rsid w:val="3F3073B8"/>
    <w:rsid w:val="3F3725C6"/>
    <w:rsid w:val="3F493F5C"/>
    <w:rsid w:val="3F536673"/>
    <w:rsid w:val="3F5A79F3"/>
    <w:rsid w:val="3F5D2E4D"/>
    <w:rsid w:val="3F5F1F5C"/>
    <w:rsid w:val="3F6A5EE0"/>
    <w:rsid w:val="3F7E7531"/>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790653"/>
    <w:rsid w:val="40860450"/>
    <w:rsid w:val="40942502"/>
    <w:rsid w:val="40971DD6"/>
    <w:rsid w:val="40AA46A6"/>
    <w:rsid w:val="40B6211F"/>
    <w:rsid w:val="40C2573C"/>
    <w:rsid w:val="40D01BF9"/>
    <w:rsid w:val="40D34024"/>
    <w:rsid w:val="40D43BA0"/>
    <w:rsid w:val="40E241CE"/>
    <w:rsid w:val="40EA78D7"/>
    <w:rsid w:val="40EC35D0"/>
    <w:rsid w:val="40EC510F"/>
    <w:rsid w:val="40EF5D43"/>
    <w:rsid w:val="412912D7"/>
    <w:rsid w:val="41366B89"/>
    <w:rsid w:val="41554B41"/>
    <w:rsid w:val="41643D6B"/>
    <w:rsid w:val="417137CD"/>
    <w:rsid w:val="41771599"/>
    <w:rsid w:val="418E52EE"/>
    <w:rsid w:val="41A04E11"/>
    <w:rsid w:val="41CA6260"/>
    <w:rsid w:val="41DB0F0D"/>
    <w:rsid w:val="41F029FA"/>
    <w:rsid w:val="420558C2"/>
    <w:rsid w:val="42057B28"/>
    <w:rsid w:val="420874B4"/>
    <w:rsid w:val="420D0A6A"/>
    <w:rsid w:val="421052B2"/>
    <w:rsid w:val="42190CC2"/>
    <w:rsid w:val="422F31A8"/>
    <w:rsid w:val="422F36E3"/>
    <w:rsid w:val="42407C97"/>
    <w:rsid w:val="42491125"/>
    <w:rsid w:val="42685900"/>
    <w:rsid w:val="427A44C2"/>
    <w:rsid w:val="42880654"/>
    <w:rsid w:val="428D14EF"/>
    <w:rsid w:val="4296187E"/>
    <w:rsid w:val="429B2F25"/>
    <w:rsid w:val="429B4AA7"/>
    <w:rsid w:val="42A65AF0"/>
    <w:rsid w:val="42AD56C6"/>
    <w:rsid w:val="42C7120C"/>
    <w:rsid w:val="42CD0A84"/>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A16902"/>
    <w:rsid w:val="43BD5DE5"/>
    <w:rsid w:val="43CC2FC9"/>
    <w:rsid w:val="43CF5AE2"/>
    <w:rsid w:val="43D122B4"/>
    <w:rsid w:val="43D65E39"/>
    <w:rsid w:val="43D6606E"/>
    <w:rsid w:val="43E63B73"/>
    <w:rsid w:val="43F01F04"/>
    <w:rsid w:val="43FE3B45"/>
    <w:rsid w:val="441111D7"/>
    <w:rsid w:val="44204C51"/>
    <w:rsid w:val="442D64E6"/>
    <w:rsid w:val="44366A11"/>
    <w:rsid w:val="443B3A4C"/>
    <w:rsid w:val="444B0AC4"/>
    <w:rsid w:val="444C64B0"/>
    <w:rsid w:val="444D54BA"/>
    <w:rsid w:val="44607171"/>
    <w:rsid w:val="44655746"/>
    <w:rsid w:val="447408F6"/>
    <w:rsid w:val="44742FDB"/>
    <w:rsid w:val="447636BF"/>
    <w:rsid w:val="447E086E"/>
    <w:rsid w:val="44951997"/>
    <w:rsid w:val="449D508C"/>
    <w:rsid w:val="44B15AF7"/>
    <w:rsid w:val="44B36E39"/>
    <w:rsid w:val="44BB57F3"/>
    <w:rsid w:val="44C83058"/>
    <w:rsid w:val="44D83825"/>
    <w:rsid w:val="44DC2E06"/>
    <w:rsid w:val="44EC7013"/>
    <w:rsid w:val="44F02519"/>
    <w:rsid w:val="44FB3AE3"/>
    <w:rsid w:val="44FF3C64"/>
    <w:rsid w:val="45061393"/>
    <w:rsid w:val="45166A26"/>
    <w:rsid w:val="45427AA4"/>
    <w:rsid w:val="45515DC5"/>
    <w:rsid w:val="455454A2"/>
    <w:rsid w:val="45564CA5"/>
    <w:rsid w:val="455B6233"/>
    <w:rsid w:val="456A6A48"/>
    <w:rsid w:val="457C3D14"/>
    <w:rsid w:val="45847827"/>
    <w:rsid w:val="45865E2C"/>
    <w:rsid w:val="45911A43"/>
    <w:rsid w:val="45A16423"/>
    <w:rsid w:val="45A24E61"/>
    <w:rsid w:val="45B457B5"/>
    <w:rsid w:val="45C63F33"/>
    <w:rsid w:val="45C849A3"/>
    <w:rsid w:val="45DA1DB7"/>
    <w:rsid w:val="45DE2657"/>
    <w:rsid w:val="45F10EC5"/>
    <w:rsid w:val="45FE10BA"/>
    <w:rsid w:val="460F4303"/>
    <w:rsid w:val="462E7E70"/>
    <w:rsid w:val="463144E8"/>
    <w:rsid w:val="46335004"/>
    <w:rsid w:val="46424079"/>
    <w:rsid w:val="466317E7"/>
    <w:rsid w:val="466E3CCD"/>
    <w:rsid w:val="4676381B"/>
    <w:rsid w:val="467744FD"/>
    <w:rsid w:val="46A746F1"/>
    <w:rsid w:val="46A9467B"/>
    <w:rsid w:val="46A9603F"/>
    <w:rsid w:val="46AF30F0"/>
    <w:rsid w:val="46D046FE"/>
    <w:rsid w:val="46D808B3"/>
    <w:rsid w:val="46E12276"/>
    <w:rsid w:val="46E43E05"/>
    <w:rsid w:val="46F03580"/>
    <w:rsid w:val="46F51A7F"/>
    <w:rsid w:val="47140188"/>
    <w:rsid w:val="4714637D"/>
    <w:rsid w:val="4718310F"/>
    <w:rsid w:val="472033C0"/>
    <w:rsid w:val="47280D0D"/>
    <w:rsid w:val="47424AC3"/>
    <w:rsid w:val="47444019"/>
    <w:rsid w:val="47581629"/>
    <w:rsid w:val="475D30AC"/>
    <w:rsid w:val="476B7898"/>
    <w:rsid w:val="47700B34"/>
    <w:rsid w:val="477A6B40"/>
    <w:rsid w:val="47974276"/>
    <w:rsid w:val="479C078C"/>
    <w:rsid w:val="47B32E9C"/>
    <w:rsid w:val="47B91B7D"/>
    <w:rsid w:val="47B922BA"/>
    <w:rsid w:val="47CB21D4"/>
    <w:rsid w:val="47ED7291"/>
    <w:rsid w:val="47F3564B"/>
    <w:rsid w:val="47F46C1C"/>
    <w:rsid w:val="47FE7658"/>
    <w:rsid w:val="48072039"/>
    <w:rsid w:val="480B19F6"/>
    <w:rsid w:val="480E7E09"/>
    <w:rsid w:val="481D675B"/>
    <w:rsid w:val="482109E5"/>
    <w:rsid w:val="48212AE9"/>
    <w:rsid w:val="48281A14"/>
    <w:rsid w:val="484D05AF"/>
    <w:rsid w:val="48547F3A"/>
    <w:rsid w:val="48580B3F"/>
    <w:rsid w:val="4860088B"/>
    <w:rsid w:val="486266B3"/>
    <w:rsid w:val="486C4CE7"/>
    <w:rsid w:val="487216E8"/>
    <w:rsid w:val="487F72A6"/>
    <w:rsid w:val="488536D4"/>
    <w:rsid w:val="489362BA"/>
    <w:rsid w:val="489713C3"/>
    <w:rsid w:val="48A262B1"/>
    <w:rsid w:val="48A61EC2"/>
    <w:rsid w:val="48BA3284"/>
    <w:rsid w:val="48CB1CC0"/>
    <w:rsid w:val="48DB71B2"/>
    <w:rsid w:val="48E0782A"/>
    <w:rsid w:val="48E66D59"/>
    <w:rsid w:val="49013C23"/>
    <w:rsid w:val="490A37AF"/>
    <w:rsid w:val="490A52ED"/>
    <w:rsid w:val="490C3583"/>
    <w:rsid w:val="49163580"/>
    <w:rsid w:val="491E6E1E"/>
    <w:rsid w:val="491F7F64"/>
    <w:rsid w:val="492A1BD4"/>
    <w:rsid w:val="49582843"/>
    <w:rsid w:val="49733467"/>
    <w:rsid w:val="49A418F2"/>
    <w:rsid w:val="49AB26EA"/>
    <w:rsid w:val="49AD5BED"/>
    <w:rsid w:val="49BE170B"/>
    <w:rsid w:val="49C8100A"/>
    <w:rsid w:val="49FD4166"/>
    <w:rsid w:val="49FF2037"/>
    <w:rsid w:val="4A0A7F62"/>
    <w:rsid w:val="4A1D00AC"/>
    <w:rsid w:val="4A270A04"/>
    <w:rsid w:val="4A36625B"/>
    <w:rsid w:val="4A3B71DB"/>
    <w:rsid w:val="4A414188"/>
    <w:rsid w:val="4A47591B"/>
    <w:rsid w:val="4A4C4C82"/>
    <w:rsid w:val="4A6F608D"/>
    <w:rsid w:val="4A767F31"/>
    <w:rsid w:val="4A885CE1"/>
    <w:rsid w:val="4A9452E5"/>
    <w:rsid w:val="4A9F2D3A"/>
    <w:rsid w:val="4ABA66FB"/>
    <w:rsid w:val="4ABE4F66"/>
    <w:rsid w:val="4ABF0894"/>
    <w:rsid w:val="4AC76EC6"/>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562725"/>
    <w:rsid w:val="4B693CDC"/>
    <w:rsid w:val="4B6F57B6"/>
    <w:rsid w:val="4BA73A3D"/>
    <w:rsid w:val="4BB31E0A"/>
    <w:rsid w:val="4BC60804"/>
    <w:rsid w:val="4BC74E08"/>
    <w:rsid w:val="4BCF4885"/>
    <w:rsid w:val="4BD07997"/>
    <w:rsid w:val="4BDF3E16"/>
    <w:rsid w:val="4BF722AF"/>
    <w:rsid w:val="4BFA3233"/>
    <w:rsid w:val="4C1003D8"/>
    <w:rsid w:val="4C1705E5"/>
    <w:rsid w:val="4C203473"/>
    <w:rsid w:val="4C2F2351"/>
    <w:rsid w:val="4C352DA8"/>
    <w:rsid w:val="4C366477"/>
    <w:rsid w:val="4C376F62"/>
    <w:rsid w:val="4C381F65"/>
    <w:rsid w:val="4C6E6BF7"/>
    <w:rsid w:val="4C6F66E5"/>
    <w:rsid w:val="4C786851"/>
    <w:rsid w:val="4C942881"/>
    <w:rsid w:val="4CA966A6"/>
    <w:rsid w:val="4CAE507C"/>
    <w:rsid w:val="4CAF266F"/>
    <w:rsid w:val="4CB229E2"/>
    <w:rsid w:val="4CC13ECD"/>
    <w:rsid w:val="4CD020F9"/>
    <w:rsid w:val="4CD828C2"/>
    <w:rsid w:val="4D0B17EF"/>
    <w:rsid w:val="4D0E4802"/>
    <w:rsid w:val="4D2F7723"/>
    <w:rsid w:val="4D406BD1"/>
    <w:rsid w:val="4D5047B5"/>
    <w:rsid w:val="4D576F61"/>
    <w:rsid w:val="4D5C53F9"/>
    <w:rsid w:val="4D5F3D23"/>
    <w:rsid w:val="4D605A45"/>
    <w:rsid w:val="4D76573F"/>
    <w:rsid w:val="4D7E6C33"/>
    <w:rsid w:val="4D831E51"/>
    <w:rsid w:val="4D942472"/>
    <w:rsid w:val="4DA44E4F"/>
    <w:rsid w:val="4DAA4C62"/>
    <w:rsid w:val="4DAD5FAE"/>
    <w:rsid w:val="4DC275EA"/>
    <w:rsid w:val="4DCE74AD"/>
    <w:rsid w:val="4DD827C4"/>
    <w:rsid w:val="4DDD0570"/>
    <w:rsid w:val="4DF521AC"/>
    <w:rsid w:val="4E0A2800"/>
    <w:rsid w:val="4E0D58C8"/>
    <w:rsid w:val="4E154828"/>
    <w:rsid w:val="4E222649"/>
    <w:rsid w:val="4E244D2D"/>
    <w:rsid w:val="4E5079C5"/>
    <w:rsid w:val="4E5C1FD5"/>
    <w:rsid w:val="4E623BD3"/>
    <w:rsid w:val="4E7906E7"/>
    <w:rsid w:val="4E837C45"/>
    <w:rsid w:val="4E9108A9"/>
    <w:rsid w:val="4E993495"/>
    <w:rsid w:val="4E9B0304"/>
    <w:rsid w:val="4EA30D9D"/>
    <w:rsid w:val="4EA31AE4"/>
    <w:rsid w:val="4EB2058C"/>
    <w:rsid w:val="4EB60C48"/>
    <w:rsid w:val="4EDE147E"/>
    <w:rsid w:val="4EEA3967"/>
    <w:rsid w:val="4EEF1B44"/>
    <w:rsid w:val="4F012635"/>
    <w:rsid w:val="4F0A27C3"/>
    <w:rsid w:val="4F0F005F"/>
    <w:rsid w:val="4F165D52"/>
    <w:rsid w:val="4F190BD2"/>
    <w:rsid w:val="4F1D369F"/>
    <w:rsid w:val="4F213A90"/>
    <w:rsid w:val="4F290247"/>
    <w:rsid w:val="4F323CD2"/>
    <w:rsid w:val="4F332C0A"/>
    <w:rsid w:val="4F383685"/>
    <w:rsid w:val="4F433DC8"/>
    <w:rsid w:val="4F4510BC"/>
    <w:rsid w:val="4F4B51A5"/>
    <w:rsid w:val="4F545D86"/>
    <w:rsid w:val="4F5F1347"/>
    <w:rsid w:val="4F896D46"/>
    <w:rsid w:val="4F974D24"/>
    <w:rsid w:val="4FA03E0F"/>
    <w:rsid w:val="4FA14EEC"/>
    <w:rsid w:val="4FA84227"/>
    <w:rsid w:val="4FB73F54"/>
    <w:rsid w:val="4FC231DA"/>
    <w:rsid w:val="4FE223EE"/>
    <w:rsid w:val="4FE3097A"/>
    <w:rsid w:val="4FFD3A77"/>
    <w:rsid w:val="501F59A7"/>
    <w:rsid w:val="503642D7"/>
    <w:rsid w:val="503D3F59"/>
    <w:rsid w:val="504C7CCA"/>
    <w:rsid w:val="5063027C"/>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4491"/>
    <w:rsid w:val="50C577D9"/>
    <w:rsid w:val="50DD17B8"/>
    <w:rsid w:val="50E00158"/>
    <w:rsid w:val="50E8434B"/>
    <w:rsid w:val="50F0291C"/>
    <w:rsid w:val="50F5073D"/>
    <w:rsid w:val="51183F80"/>
    <w:rsid w:val="51286AE9"/>
    <w:rsid w:val="512B131B"/>
    <w:rsid w:val="514946EA"/>
    <w:rsid w:val="515B2086"/>
    <w:rsid w:val="516C5BB7"/>
    <w:rsid w:val="51881606"/>
    <w:rsid w:val="518E2820"/>
    <w:rsid w:val="51AC5137"/>
    <w:rsid w:val="51B4195C"/>
    <w:rsid w:val="51B463DB"/>
    <w:rsid w:val="51C24E31"/>
    <w:rsid w:val="51C31254"/>
    <w:rsid w:val="51C979DD"/>
    <w:rsid w:val="51D20DCB"/>
    <w:rsid w:val="51FB199F"/>
    <w:rsid w:val="520A22AE"/>
    <w:rsid w:val="521974CD"/>
    <w:rsid w:val="522143CD"/>
    <w:rsid w:val="52247A0F"/>
    <w:rsid w:val="522A0742"/>
    <w:rsid w:val="52385792"/>
    <w:rsid w:val="523D42DD"/>
    <w:rsid w:val="523F6AFF"/>
    <w:rsid w:val="524B2DC8"/>
    <w:rsid w:val="524F31BF"/>
    <w:rsid w:val="52514A0D"/>
    <w:rsid w:val="525748A7"/>
    <w:rsid w:val="5271569A"/>
    <w:rsid w:val="5273265C"/>
    <w:rsid w:val="527B5D61"/>
    <w:rsid w:val="52853336"/>
    <w:rsid w:val="52881D50"/>
    <w:rsid w:val="52991222"/>
    <w:rsid w:val="529B3EC4"/>
    <w:rsid w:val="529C6295"/>
    <w:rsid w:val="529C7876"/>
    <w:rsid w:val="52B0368A"/>
    <w:rsid w:val="52BC72D9"/>
    <w:rsid w:val="52DB19FD"/>
    <w:rsid w:val="52EE339D"/>
    <w:rsid w:val="530174D7"/>
    <w:rsid w:val="5306292A"/>
    <w:rsid w:val="530822C8"/>
    <w:rsid w:val="53180FAF"/>
    <w:rsid w:val="53317508"/>
    <w:rsid w:val="533E1E81"/>
    <w:rsid w:val="53445C3B"/>
    <w:rsid w:val="534B7333"/>
    <w:rsid w:val="535B246C"/>
    <w:rsid w:val="536C234B"/>
    <w:rsid w:val="536F3F83"/>
    <w:rsid w:val="53703E8D"/>
    <w:rsid w:val="53707DDE"/>
    <w:rsid w:val="537E0058"/>
    <w:rsid w:val="53943296"/>
    <w:rsid w:val="53950AA6"/>
    <w:rsid w:val="539605FB"/>
    <w:rsid w:val="53A909D1"/>
    <w:rsid w:val="53B2385F"/>
    <w:rsid w:val="53C057E0"/>
    <w:rsid w:val="53C15DE9"/>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22738"/>
    <w:rsid w:val="541F77E0"/>
    <w:rsid w:val="54270E2A"/>
    <w:rsid w:val="543E515D"/>
    <w:rsid w:val="543F413B"/>
    <w:rsid w:val="5443534C"/>
    <w:rsid w:val="544B0D54"/>
    <w:rsid w:val="545114AC"/>
    <w:rsid w:val="54591CDE"/>
    <w:rsid w:val="545952F2"/>
    <w:rsid w:val="54625354"/>
    <w:rsid w:val="5469558C"/>
    <w:rsid w:val="54984A43"/>
    <w:rsid w:val="54B61E08"/>
    <w:rsid w:val="54BE461D"/>
    <w:rsid w:val="54C557E7"/>
    <w:rsid w:val="54C65EC0"/>
    <w:rsid w:val="54D43100"/>
    <w:rsid w:val="552760F6"/>
    <w:rsid w:val="552A09F4"/>
    <w:rsid w:val="5532296D"/>
    <w:rsid w:val="55452810"/>
    <w:rsid w:val="555154EE"/>
    <w:rsid w:val="558F4A1E"/>
    <w:rsid w:val="55942252"/>
    <w:rsid w:val="55987FBD"/>
    <w:rsid w:val="55B41C64"/>
    <w:rsid w:val="55C57C53"/>
    <w:rsid w:val="55E34DF9"/>
    <w:rsid w:val="55EC2897"/>
    <w:rsid w:val="55F0187C"/>
    <w:rsid w:val="55FA242D"/>
    <w:rsid w:val="5630640C"/>
    <w:rsid w:val="564B32E4"/>
    <w:rsid w:val="5652511E"/>
    <w:rsid w:val="5652573E"/>
    <w:rsid w:val="565259A5"/>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F37D3E"/>
    <w:rsid w:val="56F473C0"/>
    <w:rsid w:val="56FD3D8C"/>
    <w:rsid w:val="56FE31A5"/>
    <w:rsid w:val="57065F83"/>
    <w:rsid w:val="57097BE4"/>
    <w:rsid w:val="570B6550"/>
    <w:rsid w:val="570E1847"/>
    <w:rsid w:val="57196157"/>
    <w:rsid w:val="573434A1"/>
    <w:rsid w:val="57460250"/>
    <w:rsid w:val="57484C26"/>
    <w:rsid w:val="5758628A"/>
    <w:rsid w:val="57745BB6"/>
    <w:rsid w:val="57855787"/>
    <w:rsid w:val="578A1BF3"/>
    <w:rsid w:val="57B02739"/>
    <w:rsid w:val="57B439EF"/>
    <w:rsid w:val="57BD6C04"/>
    <w:rsid w:val="57C51573"/>
    <w:rsid w:val="57D6036B"/>
    <w:rsid w:val="57DE28CC"/>
    <w:rsid w:val="57DF5B52"/>
    <w:rsid w:val="57FF606E"/>
    <w:rsid w:val="580032F4"/>
    <w:rsid w:val="580716CC"/>
    <w:rsid w:val="58220A26"/>
    <w:rsid w:val="58302FD6"/>
    <w:rsid w:val="58381DBD"/>
    <w:rsid w:val="58382405"/>
    <w:rsid w:val="58394C38"/>
    <w:rsid w:val="58423CCA"/>
    <w:rsid w:val="58432BD9"/>
    <w:rsid w:val="584B7C06"/>
    <w:rsid w:val="58510290"/>
    <w:rsid w:val="58553578"/>
    <w:rsid w:val="58553705"/>
    <w:rsid w:val="5855370B"/>
    <w:rsid w:val="58570D1A"/>
    <w:rsid w:val="58590F71"/>
    <w:rsid w:val="58593D0B"/>
    <w:rsid w:val="58784669"/>
    <w:rsid w:val="58A80E04"/>
    <w:rsid w:val="58B31DD9"/>
    <w:rsid w:val="58B91125"/>
    <w:rsid w:val="58BE2FA8"/>
    <w:rsid w:val="58C52932"/>
    <w:rsid w:val="58C64CF3"/>
    <w:rsid w:val="58CB3B78"/>
    <w:rsid w:val="58D21B64"/>
    <w:rsid w:val="58E52E67"/>
    <w:rsid w:val="590D2328"/>
    <w:rsid w:val="590F51DD"/>
    <w:rsid w:val="591E2294"/>
    <w:rsid w:val="59232C0B"/>
    <w:rsid w:val="593A62F9"/>
    <w:rsid w:val="59421BB2"/>
    <w:rsid w:val="594B4FD2"/>
    <w:rsid w:val="594D06B7"/>
    <w:rsid w:val="595C599F"/>
    <w:rsid w:val="597A115C"/>
    <w:rsid w:val="598A5B73"/>
    <w:rsid w:val="598D03EC"/>
    <w:rsid w:val="598D6E21"/>
    <w:rsid w:val="598D7696"/>
    <w:rsid w:val="59901ABC"/>
    <w:rsid w:val="599C0038"/>
    <w:rsid w:val="599F6487"/>
    <w:rsid w:val="59AC73AD"/>
    <w:rsid w:val="59B04427"/>
    <w:rsid w:val="59B377F3"/>
    <w:rsid w:val="59B6573E"/>
    <w:rsid w:val="59C43D4D"/>
    <w:rsid w:val="59C83A39"/>
    <w:rsid w:val="59D26531"/>
    <w:rsid w:val="59FB18DA"/>
    <w:rsid w:val="5A160FDB"/>
    <w:rsid w:val="5A261DCD"/>
    <w:rsid w:val="5A361544"/>
    <w:rsid w:val="5A3F108A"/>
    <w:rsid w:val="5A491507"/>
    <w:rsid w:val="5A5B363C"/>
    <w:rsid w:val="5A6D76C0"/>
    <w:rsid w:val="5A723A0D"/>
    <w:rsid w:val="5A762255"/>
    <w:rsid w:val="5A833B0D"/>
    <w:rsid w:val="5A9D621A"/>
    <w:rsid w:val="5AB17106"/>
    <w:rsid w:val="5AB864BE"/>
    <w:rsid w:val="5AC219D6"/>
    <w:rsid w:val="5AC77AAC"/>
    <w:rsid w:val="5AC94301"/>
    <w:rsid w:val="5ACF40CD"/>
    <w:rsid w:val="5AE67733"/>
    <w:rsid w:val="5AF57B23"/>
    <w:rsid w:val="5AFD3B96"/>
    <w:rsid w:val="5B0C640C"/>
    <w:rsid w:val="5B1142F4"/>
    <w:rsid w:val="5B170C5D"/>
    <w:rsid w:val="5B2D1B7A"/>
    <w:rsid w:val="5B2D305D"/>
    <w:rsid w:val="5B443E9C"/>
    <w:rsid w:val="5B4C1057"/>
    <w:rsid w:val="5B53327E"/>
    <w:rsid w:val="5B60602F"/>
    <w:rsid w:val="5B707739"/>
    <w:rsid w:val="5B7D7957"/>
    <w:rsid w:val="5B830BC2"/>
    <w:rsid w:val="5B8A7735"/>
    <w:rsid w:val="5B956906"/>
    <w:rsid w:val="5B987E52"/>
    <w:rsid w:val="5BAB48F4"/>
    <w:rsid w:val="5BCE4EA4"/>
    <w:rsid w:val="5BD209C4"/>
    <w:rsid w:val="5BD637EC"/>
    <w:rsid w:val="5BDE5A43"/>
    <w:rsid w:val="5BE0323A"/>
    <w:rsid w:val="5BE80ED6"/>
    <w:rsid w:val="5C1679CD"/>
    <w:rsid w:val="5C1A362B"/>
    <w:rsid w:val="5C1B5EE5"/>
    <w:rsid w:val="5C1B7F5F"/>
    <w:rsid w:val="5C2D3BC9"/>
    <w:rsid w:val="5C34166A"/>
    <w:rsid w:val="5C4A36B7"/>
    <w:rsid w:val="5C4E44D4"/>
    <w:rsid w:val="5C5552A6"/>
    <w:rsid w:val="5C620B98"/>
    <w:rsid w:val="5C7F58F3"/>
    <w:rsid w:val="5C80234E"/>
    <w:rsid w:val="5C852810"/>
    <w:rsid w:val="5C9C5AD9"/>
    <w:rsid w:val="5C9F3478"/>
    <w:rsid w:val="5CB141A2"/>
    <w:rsid w:val="5CB85D2B"/>
    <w:rsid w:val="5CC83DC7"/>
    <w:rsid w:val="5CD7479C"/>
    <w:rsid w:val="5CE536CF"/>
    <w:rsid w:val="5CE568F8"/>
    <w:rsid w:val="5CF33064"/>
    <w:rsid w:val="5D013D09"/>
    <w:rsid w:val="5D0536BD"/>
    <w:rsid w:val="5D0576C4"/>
    <w:rsid w:val="5D203E5D"/>
    <w:rsid w:val="5D230368"/>
    <w:rsid w:val="5D255730"/>
    <w:rsid w:val="5D364081"/>
    <w:rsid w:val="5D424AC5"/>
    <w:rsid w:val="5D5667E0"/>
    <w:rsid w:val="5D580881"/>
    <w:rsid w:val="5D6261CB"/>
    <w:rsid w:val="5D6974FD"/>
    <w:rsid w:val="5DA13534"/>
    <w:rsid w:val="5DC9382F"/>
    <w:rsid w:val="5DCA38F3"/>
    <w:rsid w:val="5DCB56EC"/>
    <w:rsid w:val="5DD14279"/>
    <w:rsid w:val="5DE05A00"/>
    <w:rsid w:val="5DE448D2"/>
    <w:rsid w:val="5DF441FF"/>
    <w:rsid w:val="5DF474C9"/>
    <w:rsid w:val="5E057AF6"/>
    <w:rsid w:val="5E1463C6"/>
    <w:rsid w:val="5E285722"/>
    <w:rsid w:val="5E3B4D31"/>
    <w:rsid w:val="5E3E65D1"/>
    <w:rsid w:val="5E4B7A1D"/>
    <w:rsid w:val="5E4D4830"/>
    <w:rsid w:val="5E4E1644"/>
    <w:rsid w:val="5E50050F"/>
    <w:rsid w:val="5E5D04EF"/>
    <w:rsid w:val="5E5D47D5"/>
    <w:rsid w:val="5E68591D"/>
    <w:rsid w:val="5E6F4AE3"/>
    <w:rsid w:val="5E731D18"/>
    <w:rsid w:val="5E736001"/>
    <w:rsid w:val="5E742249"/>
    <w:rsid w:val="5E767F71"/>
    <w:rsid w:val="5E986D1D"/>
    <w:rsid w:val="5E9E597C"/>
    <w:rsid w:val="5EA97C8F"/>
    <w:rsid w:val="5EBA6970"/>
    <w:rsid w:val="5EC4125E"/>
    <w:rsid w:val="5EE11EB8"/>
    <w:rsid w:val="5F0936DE"/>
    <w:rsid w:val="5F1564DA"/>
    <w:rsid w:val="5F171517"/>
    <w:rsid w:val="5F250070"/>
    <w:rsid w:val="5F3209BE"/>
    <w:rsid w:val="5F5B6A83"/>
    <w:rsid w:val="5F62295E"/>
    <w:rsid w:val="5F7D16C2"/>
    <w:rsid w:val="5F892553"/>
    <w:rsid w:val="5FAB77AE"/>
    <w:rsid w:val="5FB301BB"/>
    <w:rsid w:val="5FD04B62"/>
    <w:rsid w:val="5FD144A5"/>
    <w:rsid w:val="5FF97102"/>
    <w:rsid w:val="5FFA6139"/>
    <w:rsid w:val="5FFB5E88"/>
    <w:rsid w:val="600A6271"/>
    <w:rsid w:val="601101FB"/>
    <w:rsid w:val="60357E4D"/>
    <w:rsid w:val="6046706E"/>
    <w:rsid w:val="60492B3E"/>
    <w:rsid w:val="6053275F"/>
    <w:rsid w:val="60565E64"/>
    <w:rsid w:val="605D4C28"/>
    <w:rsid w:val="605E55CF"/>
    <w:rsid w:val="606A06BA"/>
    <w:rsid w:val="606F2DD9"/>
    <w:rsid w:val="60747DCE"/>
    <w:rsid w:val="6089047C"/>
    <w:rsid w:val="608D4CE3"/>
    <w:rsid w:val="60A859A2"/>
    <w:rsid w:val="60AB29AA"/>
    <w:rsid w:val="60AC67BD"/>
    <w:rsid w:val="60AD2B1B"/>
    <w:rsid w:val="60AE372D"/>
    <w:rsid w:val="60C06489"/>
    <w:rsid w:val="60CD295D"/>
    <w:rsid w:val="60CE2A0E"/>
    <w:rsid w:val="60E06A5A"/>
    <w:rsid w:val="61096ED4"/>
    <w:rsid w:val="611C1063"/>
    <w:rsid w:val="61204933"/>
    <w:rsid w:val="612354B4"/>
    <w:rsid w:val="61351A56"/>
    <w:rsid w:val="613F62A8"/>
    <w:rsid w:val="61415F87"/>
    <w:rsid w:val="61561800"/>
    <w:rsid w:val="615A223E"/>
    <w:rsid w:val="615A4676"/>
    <w:rsid w:val="615B47A6"/>
    <w:rsid w:val="616435A6"/>
    <w:rsid w:val="61830F3C"/>
    <w:rsid w:val="619940E6"/>
    <w:rsid w:val="61A6014E"/>
    <w:rsid w:val="61B3236A"/>
    <w:rsid w:val="61D63921"/>
    <w:rsid w:val="61DB724C"/>
    <w:rsid w:val="61EE1B3B"/>
    <w:rsid w:val="61F439C5"/>
    <w:rsid w:val="61F443E9"/>
    <w:rsid w:val="620444AC"/>
    <w:rsid w:val="62086520"/>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BF666C"/>
    <w:rsid w:val="62C73A65"/>
    <w:rsid w:val="62C7491F"/>
    <w:rsid w:val="62C906B0"/>
    <w:rsid w:val="62CD0ED6"/>
    <w:rsid w:val="62D50998"/>
    <w:rsid w:val="62D8753A"/>
    <w:rsid w:val="62E7507D"/>
    <w:rsid w:val="62F67597"/>
    <w:rsid w:val="630C0C8E"/>
    <w:rsid w:val="630C34D0"/>
    <w:rsid w:val="631E48B7"/>
    <w:rsid w:val="6322080B"/>
    <w:rsid w:val="635F6BBD"/>
    <w:rsid w:val="63785DBF"/>
    <w:rsid w:val="63823BA9"/>
    <w:rsid w:val="638F7AFC"/>
    <w:rsid w:val="639215D8"/>
    <w:rsid w:val="63A36BE5"/>
    <w:rsid w:val="63B2141C"/>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C6B67"/>
    <w:rsid w:val="64335EB1"/>
    <w:rsid w:val="643937B4"/>
    <w:rsid w:val="64433CD0"/>
    <w:rsid w:val="64495F72"/>
    <w:rsid w:val="644B25BC"/>
    <w:rsid w:val="645D7798"/>
    <w:rsid w:val="647F6D16"/>
    <w:rsid w:val="6498217B"/>
    <w:rsid w:val="64987FF4"/>
    <w:rsid w:val="649F0E63"/>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034C4"/>
    <w:rsid w:val="65732FC9"/>
    <w:rsid w:val="65A240BE"/>
    <w:rsid w:val="65A273A9"/>
    <w:rsid w:val="65AE5114"/>
    <w:rsid w:val="65AE59DE"/>
    <w:rsid w:val="65B22C79"/>
    <w:rsid w:val="65B60634"/>
    <w:rsid w:val="65B61DD9"/>
    <w:rsid w:val="65BB5075"/>
    <w:rsid w:val="65BC102A"/>
    <w:rsid w:val="65C76D0B"/>
    <w:rsid w:val="65CB5A52"/>
    <w:rsid w:val="65D23BC4"/>
    <w:rsid w:val="65F03F0E"/>
    <w:rsid w:val="65F736BF"/>
    <w:rsid w:val="660B76A8"/>
    <w:rsid w:val="662861DC"/>
    <w:rsid w:val="66286B79"/>
    <w:rsid w:val="66306F43"/>
    <w:rsid w:val="66326E97"/>
    <w:rsid w:val="663F4723"/>
    <w:rsid w:val="664615E7"/>
    <w:rsid w:val="665265F4"/>
    <w:rsid w:val="665D487D"/>
    <w:rsid w:val="668A0DFC"/>
    <w:rsid w:val="66943E18"/>
    <w:rsid w:val="6699652A"/>
    <w:rsid w:val="66A562F6"/>
    <w:rsid w:val="66A93110"/>
    <w:rsid w:val="66AC664F"/>
    <w:rsid w:val="66AF2B2C"/>
    <w:rsid w:val="66C83F2C"/>
    <w:rsid w:val="66EB1F18"/>
    <w:rsid w:val="66F0190D"/>
    <w:rsid w:val="67064E16"/>
    <w:rsid w:val="672833FF"/>
    <w:rsid w:val="673832E7"/>
    <w:rsid w:val="67447CAA"/>
    <w:rsid w:val="67476124"/>
    <w:rsid w:val="675D734C"/>
    <w:rsid w:val="67603184"/>
    <w:rsid w:val="676569B0"/>
    <w:rsid w:val="67662B31"/>
    <w:rsid w:val="67681005"/>
    <w:rsid w:val="67690407"/>
    <w:rsid w:val="676E53AF"/>
    <w:rsid w:val="6772565E"/>
    <w:rsid w:val="677C3451"/>
    <w:rsid w:val="67905BA9"/>
    <w:rsid w:val="679C72E6"/>
    <w:rsid w:val="679D7D9D"/>
    <w:rsid w:val="679E1AB6"/>
    <w:rsid w:val="67A16316"/>
    <w:rsid w:val="67B52945"/>
    <w:rsid w:val="67B84A87"/>
    <w:rsid w:val="67D5396B"/>
    <w:rsid w:val="67E24A58"/>
    <w:rsid w:val="67E967D4"/>
    <w:rsid w:val="67EA1DE2"/>
    <w:rsid w:val="67F51F5D"/>
    <w:rsid w:val="67FB68A8"/>
    <w:rsid w:val="680A3D59"/>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2527C"/>
    <w:rsid w:val="68A512BF"/>
    <w:rsid w:val="68AB1911"/>
    <w:rsid w:val="68AB7066"/>
    <w:rsid w:val="68AC7864"/>
    <w:rsid w:val="68AE0590"/>
    <w:rsid w:val="68BD141F"/>
    <w:rsid w:val="68C2312F"/>
    <w:rsid w:val="68CC74D0"/>
    <w:rsid w:val="68DD058C"/>
    <w:rsid w:val="68E84B74"/>
    <w:rsid w:val="68FE4D8A"/>
    <w:rsid w:val="690300E6"/>
    <w:rsid w:val="691A7A58"/>
    <w:rsid w:val="691E3A53"/>
    <w:rsid w:val="691F004A"/>
    <w:rsid w:val="692563EE"/>
    <w:rsid w:val="692D6BB4"/>
    <w:rsid w:val="69456602"/>
    <w:rsid w:val="6965727E"/>
    <w:rsid w:val="69785369"/>
    <w:rsid w:val="69842EAC"/>
    <w:rsid w:val="69BF388B"/>
    <w:rsid w:val="69C62E9A"/>
    <w:rsid w:val="69D9569F"/>
    <w:rsid w:val="69EC201D"/>
    <w:rsid w:val="69F076EC"/>
    <w:rsid w:val="6A0C4C59"/>
    <w:rsid w:val="6A0C7811"/>
    <w:rsid w:val="6A0E77F1"/>
    <w:rsid w:val="6A3001E9"/>
    <w:rsid w:val="6A3B6DD7"/>
    <w:rsid w:val="6A4771FB"/>
    <w:rsid w:val="6A4D0B65"/>
    <w:rsid w:val="6A55161C"/>
    <w:rsid w:val="6A572BE8"/>
    <w:rsid w:val="6A65568E"/>
    <w:rsid w:val="6A6A6D65"/>
    <w:rsid w:val="6A775E8A"/>
    <w:rsid w:val="6A8213EE"/>
    <w:rsid w:val="6A9553FE"/>
    <w:rsid w:val="6A9F48FD"/>
    <w:rsid w:val="6AC02AEF"/>
    <w:rsid w:val="6AC07030"/>
    <w:rsid w:val="6AC30E38"/>
    <w:rsid w:val="6ACB6656"/>
    <w:rsid w:val="6AD0268E"/>
    <w:rsid w:val="6ADB66AC"/>
    <w:rsid w:val="6ADD74FD"/>
    <w:rsid w:val="6AF15601"/>
    <w:rsid w:val="6B3816B9"/>
    <w:rsid w:val="6B457289"/>
    <w:rsid w:val="6B4736DA"/>
    <w:rsid w:val="6B4F341C"/>
    <w:rsid w:val="6B570F9E"/>
    <w:rsid w:val="6B613AB3"/>
    <w:rsid w:val="6B704D44"/>
    <w:rsid w:val="6B7A4A17"/>
    <w:rsid w:val="6B7F1BF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260AD1"/>
    <w:rsid w:val="6C3B602B"/>
    <w:rsid w:val="6C3E480C"/>
    <w:rsid w:val="6C4A348A"/>
    <w:rsid w:val="6C4A4478"/>
    <w:rsid w:val="6C5002D5"/>
    <w:rsid w:val="6C516105"/>
    <w:rsid w:val="6C69343B"/>
    <w:rsid w:val="6C737CFB"/>
    <w:rsid w:val="6C777224"/>
    <w:rsid w:val="6C784906"/>
    <w:rsid w:val="6C83219C"/>
    <w:rsid w:val="6C833B41"/>
    <w:rsid w:val="6C9803A4"/>
    <w:rsid w:val="6CA405A4"/>
    <w:rsid w:val="6CD323B8"/>
    <w:rsid w:val="6CE66AF9"/>
    <w:rsid w:val="6CF33107"/>
    <w:rsid w:val="6D243939"/>
    <w:rsid w:val="6D2F5EB0"/>
    <w:rsid w:val="6D3125B4"/>
    <w:rsid w:val="6D447778"/>
    <w:rsid w:val="6D4A5F2F"/>
    <w:rsid w:val="6D5F7732"/>
    <w:rsid w:val="6D620170"/>
    <w:rsid w:val="6D74531F"/>
    <w:rsid w:val="6D777E6B"/>
    <w:rsid w:val="6D84645E"/>
    <w:rsid w:val="6D8F437E"/>
    <w:rsid w:val="6D990245"/>
    <w:rsid w:val="6D997573"/>
    <w:rsid w:val="6D9D000B"/>
    <w:rsid w:val="6DA026C8"/>
    <w:rsid w:val="6DA02E41"/>
    <w:rsid w:val="6DAB04EE"/>
    <w:rsid w:val="6DAC5479"/>
    <w:rsid w:val="6DB46943"/>
    <w:rsid w:val="6DC42971"/>
    <w:rsid w:val="6DC62455"/>
    <w:rsid w:val="6DE4394A"/>
    <w:rsid w:val="6DED7696"/>
    <w:rsid w:val="6DF60C91"/>
    <w:rsid w:val="6DF674A2"/>
    <w:rsid w:val="6E035FBA"/>
    <w:rsid w:val="6E123F60"/>
    <w:rsid w:val="6E2E7FD1"/>
    <w:rsid w:val="6E5231A4"/>
    <w:rsid w:val="6E5A40EE"/>
    <w:rsid w:val="6E5C19CE"/>
    <w:rsid w:val="6E671D27"/>
    <w:rsid w:val="6E78772A"/>
    <w:rsid w:val="6E7D48F4"/>
    <w:rsid w:val="6E842069"/>
    <w:rsid w:val="6E9C16AF"/>
    <w:rsid w:val="6E9D390D"/>
    <w:rsid w:val="6EAC20D1"/>
    <w:rsid w:val="6EC44A40"/>
    <w:rsid w:val="6EE10B05"/>
    <w:rsid w:val="6EF31424"/>
    <w:rsid w:val="6F0472BB"/>
    <w:rsid w:val="6F131D6E"/>
    <w:rsid w:val="6F1B6955"/>
    <w:rsid w:val="6F200617"/>
    <w:rsid w:val="6F206808"/>
    <w:rsid w:val="6F233CB6"/>
    <w:rsid w:val="6F322613"/>
    <w:rsid w:val="6F485B3A"/>
    <w:rsid w:val="6F537CC8"/>
    <w:rsid w:val="6F5940F5"/>
    <w:rsid w:val="6F5B3B07"/>
    <w:rsid w:val="6F6000F3"/>
    <w:rsid w:val="6F6D1E34"/>
    <w:rsid w:val="6F7A7501"/>
    <w:rsid w:val="6F813AAF"/>
    <w:rsid w:val="6F8249E0"/>
    <w:rsid w:val="6F8422F9"/>
    <w:rsid w:val="6FAB7D95"/>
    <w:rsid w:val="6FAD23B4"/>
    <w:rsid w:val="6FAD5E72"/>
    <w:rsid w:val="6FB9555A"/>
    <w:rsid w:val="6FBD7D61"/>
    <w:rsid w:val="6FC42EAB"/>
    <w:rsid w:val="6FD101F3"/>
    <w:rsid w:val="6FDE70E7"/>
    <w:rsid w:val="6FE54985"/>
    <w:rsid w:val="6FEC7554"/>
    <w:rsid w:val="6FF1283A"/>
    <w:rsid w:val="700D5DEC"/>
    <w:rsid w:val="70404539"/>
    <w:rsid w:val="70563262"/>
    <w:rsid w:val="705873A3"/>
    <w:rsid w:val="70726F06"/>
    <w:rsid w:val="708C46A0"/>
    <w:rsid w:val="709910D5"/>
    <w:rsid w:val="709C35CE"/>
    <w:rsid w:val="70B26D33"/>
    <w:rsid w:val="70B54946"/>
    <w:rsid w:val="70D216D3"/>
    <w:rsid w:val="70D9122B"/>
    <w:rsid w:val="70F63584"/>
    <w:rsid w:val="71013AC4"/>
    <w:rsid w:val="71116E10"/>
    <w:rsid w:val="711E75DA"/>
    <w:rsid w:val="71221C60"/>
    <w:rsid w:val="71306040"/>
    <w:rsid w:val="71534AAE"/>
    <w:rsid w:val="71550DBA"/>
    <w:rsid w:val="7158431A"/>
    <w:rsid w:val="71613AEC"/>
    <w:rsid w:val="716C54B9"/>
    <w:rsid w:val="717C638C"/>
    <w:rsid w:val="71896C8F"/>
    <w:rsid w:val="719B216D"/>
    <w:rsid w:val="71B330DD"/>
    <w:rsid w:val="71B752EE"/>
    <w:rsid w:val="71BE2769"/>
    <w:rsid w:val="71C66F16"/>
    <w:rsid w:val="71DB12A7"/>
    <w:rsid w:val="71E40223"/>
    <w:rsid w:val="71E70A22"/>
    <w:rsid w:val="7202262A"/>
    <w:rsid w:val="720860A3"/>
    <w:rsid w:val="72106F1F"/>
    <w:rsid w:val="721E7112"/>
    <w:rsid w:val="722D57C7"/>
    <w:rsid w:val="723423C2"/>
    <w:rsid w:val="724062B5"/>
    <w:rsid w:val="724A0704"/>
    <w:rsid w:val="724F46F0"/>
    <w:rsid w:val="7255143F"/>
    <w:rsid w:val="725D42D9"/>
    <w:rsid w:val="726436E6"/>
    <w:rsid w:val="72700C83"/>
    <w:rsid w:val="727E6483"/>
    <w:rsid w:val="72802E16"/>
    <w:rsid w:val="72843406"/>
    <w:rsid w:val="728453D5"/>
    <w:rsid w:val="72935827"/>
    <w:rsid w:val="729660C5"/>
    <w:rsid w:val="729B79DD"/>
    <w:rsid w:val="72AC0DAF"/>
    <w:rsid w:val="72BB1BA7"/>
    <w:rsid w:val="72C773DB"/>
    <w:rsid w:val="72D051AC"/>
    <w:rsid w:val="72D05F60"/>
    <w:rsid w:val="72EB3D62"/>
    <w:rsid w:val="72ED426C"/>
    <w:rsid w:val="72F91A90"/>
    <w:rsid w:val="731C314C"/>
    <w:rsid w:val="73237AF4"/>
    <w:rsid w:val="732927A3"/>
    <w:rsid w:val="734333B2"/>
    <w:rsid w:val="73666CF1"/>
    <w:rsid w:val="7383558F"/>
    <w:rsid w:val="738B5FB1"/>
    <w:rsid w:val="73B02110"/>
    <w:rsid w:val="73B55BEF"/>
    <w:rsid w:val="73CA3785"/>
    <w:rsid w:val="73CE0E30"/>
    <w:rsid w:val="73D82886"/>
    <w:rsid w:val="73E42131"/>
    <w:rsid w:val="73F95D4E"/>
    <w:rsid w:val="74044161"/>
    <w:rsid w:val="7412793E"/>
    <w:rsid w:val="74194164"/>
    <w:rsid w:val="741C0ACA"/>
    <w:rsid w:val="742B0327"/>
    <w:rsid w:val="742D6B25"/>
    <w:rsid w:val="744446C4"/>
    <w:rsid w:val="74524A6C"/>
    <w:rsid w:val="745C1A87"/>
    <w:rsid w:val="745D46B6"/>
    <w:rsid w:val="74674908"/>
    <w:rsid w:val="747E2170"/>
    <w:rsid w:val="74994FF2"/>
    <w:rsid w:val="74A93ADB"/>
    <w:rsid w:val="74AB764B"/>
    <w:rsid w:val="74B86703"/>
    <w:rsid w:val="74BA0C6B"/>
    <w:rsid w:val="74BB501E"/>
    <w:rsid w:val="74C25F4B"/>
    <w:rsid w:val="74EE31EA"/>
    <w:rsid w:val="74F039E8"/>
    <w:rsid w:val="74FA2880"/>
    <w:rsid w:val="750D20E7"/>
    <w:rsid w:val="75101C40"/>
    <w:rsid w:val="75223578"/>
    <w:rsid w:val="75225CBF"/>
    <w:rsid w:val="752E559B"/>
    <w:rsid w:val="75321B62"/>
    <w:rsid w:val="75350693"/>
    <w:rsid w:val="753B48E1"/>
    <w:rsid w:val="753D3667"/>
    <w:rsid w:val="7546677D"/>
    <w:rsid w:val="754B2AC0"/>
    <w:rsid w:val="754D466C"/>
    <w:rsid w:val="754F4CC4"/>
    <w:rsid w:val="7554600D"/>
    <w:rsid w:val="756338A7"/>
    <w:rsid w:val="756A69CE"/>
    <w:rsid w:val="756E0B0A"/>
    <w:rsid w:val="756F18B8"/>
    <w:rsid w:val="757031D9"/>
    <w:rsid w:val="7572083C"/>
    <w:rsid w:val="75734177"/>
    <w:rsid w:val="75806983"/>
    <w:rsid w:val="75814167"/>
    <w:rsid w:val="75842DFC"/>
    <w:rsid w:val="758C7D84"/>
    <w:rsid w:val="758E0290"/>
    <w:rsid w:val="75A667A1"/>
    <w:rsid w:val="75B9416A"/>
    <w:rsid w:val="75BE0722"/>
    <w:rsid w:val="75C247F2"/>
    <w:rsid w:val="75CC7278"/>
    <w:rsid w:val="75CD7BB5"/>
    <w:rsid w:val="75D833A4"/>
    <w:rsid w:val="75ED7C1C"/>
    <w:rsid w:val="75F1698E"/>
    <w:rsid w:val="760F39BF"/>
    <w:rsid w:val="7616334A"/>
    <w:rsid w:val="762A3224"/>
    <w:rsid w:val="762C54EE"/>
    <w:rsid w:val="76395565"/>
    <w:rsid w:val="763A2BB0"/>
    <w:rsid w:val="76437D02"/>
    <w:rsid w:val="76442B95"/>
    <w:rsid w:val="7648159B"/>
    <w:rsid w:val="765120A6"/>
    <w:rsid w:val="767F05D4"/>
    <w:rsid w:val="76A57736"/>
    <w:rsid w:val="76BF7D3D"/>
    <w:rsid w:val="76C52AEB"/>
    <w:rsid w:val="76D264D4"/>
    <w:rsid w:val="76D66A80"/>
    <w:rsid w:val="76E13C82"/>
    <w:rsid w:val="76E50934"/>
    <w:rsid w:val="76E955C3"/>
    <w:rsid w:val="76ED50F2"/>
    <w:rsid w:val="76F55C40"/>
    <w:rsid w:val="76FB26C3"/>
    <w:rsid w:val="76FD43AC"/>
    <w:rsid w:val="77123ACC"/>
    <w:rsid w:val="77247924"/>
    <w:rsid w:val="772B1B20"/>
    <w:rsid w:val="77406B01"/>
    <w:rsid w:val="77510935"/>
    <w:rsid w:val="77533C64"/>
    <w:rsid w:val="77545425"/>
    <w:rsid w:val="775550B6"/>
    <w:rsid w:val="77634F3B"/>
    <w:rsid w:val="77691105"/>
    <w:rsid w:val="778A3EDB"/>
    <w:rsid w:val="778E76B4"/>
    <w:rsid w:val="77CA2EEF"/>
    <w:rsid w:val="77D36332"/>
    <w:rsid w:val="77D62A56"/>
    <w:rsid w:val="77D75529"/>
    <w:rsid w:val="77E52DB0"/>
    <w:rsid w:val="77E62733"/>
    <w:rsid w:val="77F84B71"/>
    <w:rsid w:val="780E1955"/>
    <w:rsid w:val="781365ED"/>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2F4674"/>
    <w:rsid w:val="79306A60"/>
    <w:rsid w:val="79307089"/>
    <w:rsid w:val="79373219"/>
    <w:rsid w:val="794A4288"/>
    <w:rsid w:val="794C7980"/>
    <w:rsid w:val="7954036F"/>
    <w:rsid w:val="79607A1B"/>
    <w:rsid w:val="7963139E"/>
    <w:rsid w:val="796A36B4"/>
    <w:rsid w:val="796F2A8D"/>
    <w:rsid w:val="797A39DC"/>
    <w:rsid w:val="798B23A6"/>
    <w:rsid w:val="79A04DFD"/>
    <w:rsid w:val="79A300EC"/>
    <w:rsid w:val="79A86542"/>
    <w:rsid w:val="79BE5E62"/>
    <w:rsid w:val="79D00261"/>
    <w:rsid w:val="79D030E6"/>
    <w:rsid w:val="79D72059"/>
    <w:rsid w:val="79D8175C"/>
    <w:rsid w:val="79D917F7"/>
    <w:rsid w:val="79E34D47"/>
    <w:rsid w:val="79EC33C3"/>
    <w:rsid w:val="79ED081B"/>
    <w:rsid w:val="79FE3CA3"/>
    <w:rsid w:val="7A195421"/>
    <w:rsid w:val="7A1C1793"/>
    <w:rsid w:val="7A1C4DC7"/>
    <w:rsid w:val="7A317435"/>
    <w:rsid w:val="7A3A078E"/>
    <w:rsid w:val="7A3E119B"/>
    <w:rsid w:val="7A417F22"/>
    <w:rsid w:val="7A45124E"/>
    <w:rsid w:val="7A4928E9"/>
    <w:rsid w:val="7A4C7BCA"/>
    <w:rsid w:val="7A664EA9"/>
    <w:rsid w:val="7A7E555C"/>
    <w:rsid w:val="7A7F307F"/>
    <w:rsid w:val="7A850292"/>
    <w:rsid w:val="7A864059"/>
    <w:rsid w:val="7A991285"/>
    <w:rsid w:val="7AAC03BC"/>
    <w:rsid w:val="7AAE120D"/>
    <w:rsid w:val="7AB2157C"/>
    <w:rsid w:val="7AB865C0"/>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5DFB"/>
    <w:rsid w:val="7B69538B"/>
    <w:rsid w:val="7B6E3852"/>
    <w:rsid w:val="7B713E82"/>
    <w:rsid w:val="7B745405"/>
    <w:rsid w:val="7B77505D"/>
    <w:rsid w:val="7B7E5E0A"/>
    <w:rsid w:val="7B89373C"/>
    <w:rsid w:val="7B8B54F1"/>
    <w:rsid w:val="7BCD7043"/>
    <w:rsid w:val="7BD947C0"/>
    <w:rsid w:val="7BDA2B39"/>
    <w:rsid w:val="7BE114B4"/>
    <w:rsid w:val="7C0A4F8F"/>
    <w:rsid w:val="7C274E7E"/>
    <w:rsid w:val="7C280E42"/>
    <w:rsid w:val="7C4A7F77"/>
    <w:rsid w:val="7C4F49BF"/>
    <w:rsid w:val="7C5F4699"/>
    <w:rsid w:val="7C6B5336"/>
    <w:rsid w:val="7C7F4F3C"/>
    <w:rsid w:val="7C8E405C"/>
    <w:rsid w:val="7C9C55B4"/>
    <w:rsid w:val="7CA544A2"/>
    <w:rsid w:val="7CA91615"/>
    <w:rsid w:val="7CAC6750"/>
    <w:rsid w:val="7CB347D7"/>
    <w:rsid w:val="7CCD67D7"/>
    <w:rsid w:val="7CDA09AD"/>
    <w:rsid w:val="7CDB518C"/>
    <w:rsid w:val="7CE21673"/>
    <w:rsid w:val="7CE2570E"/>
    <w:rsid w:val="7CF45745"/>
    <w:rsid w:val="7D0E3538"/>
    <w:rsid w:val="7D1E37D2"/>
    <w:rsid w:val="7D4033FD"/>
    <w:rsid w:val="7D4D5856"/>
    <w:rsid w:val="7D537A55"/>
    <w:rsid w:val="7D737A9C"/>
    <w:rsid w:val="7D8234F7"/>
    <w:rsid w:val="7DAA16F6"/>
    <w:rsid w:val="7DCA2855"/>
    <w:rsid w:val="7DE14EF9"/>
    <w:rsid w:val="7DEF3EAB"/>
    <w:rsid w:val="7E0E416B"/>
    <w:rsid w:val="7E183EEA"/>
    <w:rsid w:val="7E245663"/>
    <w:rsid w:val="7E413003"/>
    <w:rsid w:val="7E440B2B"/>
    <w:rsid w:val="7E4A22B2"/>
    <w:rsid w:val="7E4C02D3"/>
    <w:rsid w:val="7E4F61B6"/>
    <w:rsid w:val="7E5022F4"/>
    <w:rsid w:val="7E5747D4"/>
    <w:rsid w:val="7E651BA1"/>
    <w:rsid w:val="7E6752B6"/>
    <w:rsid w:val="7E717A7B"/>
    <w:rsid w:val="7E720C01"/>
    <w:rsid w:val="7E80292D"/>
    <w:rsid w:val="7E84382C"/>
    <w:rsid w:val="7E855AE7"/>
    <w:rsid w:val="7E9D718F"/>
    <w:rsid w:val="7EA7411B"/>
    <w:rsid w:val="7EA874D5"/>
    <w:rsid w:val="7EAA0221"/>
    <w:rsid w:val="7EB02A3C"/>
    <w:rsid w:val="7EB714C1"/>
    <w:rsid w:val="7EB81375"/>
    <w:rsid w:val="7EC92354"/>
    <w:rsid w:val="7ECF4278"/>
    <w:rsid w:val="7ED326C7"/>
    <w:rsid w:val="7F0A6F2E"/>
    <w:rsid w:val="7F103634"/>
    <w:rsid w:val="7F1E459D"/>
    <w:rsid w:val="7F21551C"/>
    <w:rsid w:val="7F251450"/>
    <w:rsid w:val="7F296027"/>
    <w:rsid w:val="7F36688A"/>
    <w:rsid w:val="7F381A47"/>
    <w:rsid w:val="7F3932D6"/>
    <w:rsid w:val="7F3B3199"/>
    <w:rsid w:val="7F3D07F6"/>
    <w:rsid w:val="7F40446B"/>
    <w:rsid w:val="7F4D23DA"/>
    <w:rsid w:val="7F610509"/>
    <w:rsid w:val="7F613C7E"/>
    <w:rsid w:val="7F827F3A"/>
    <w:rsid w:val="7F912BF1"/>
    <w:rsid w:val="7FA4150B"/>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List Paragraph Char"/>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overflowPunct/>
      <w:autoSpaceDE/>
      <w:autoSpaceDN/>
      <w:adjustRightInd/>
      <w:spacing w:after="0"/>
      <w:ind w:left="567" w:hanging="283"/>
      <w:textAlignment w:val="auto"/>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3">
    <w:name w:val="标题 4 Char"/>
    <w:link w:val="5"/>
    <w:qFormat/>
    <w:uiPriority w:val="0"/>
    <w:rPr>
      <w:sz w:val="24"/>
    </w:rPr>
  </w:style>
  <w:style w:type="character" w:customStyle="1" w:styleId="84">
    <w:name w:val="标题 5 Char"/>
    <w:link w:val="6"/>
    <w:qFormat/>
    <w:uiPriority w:val="0"/>
    <w:rPr>
      <w:sz w:val="22"/>
    </w:rPr>
  </w:style>
  <w:style w:type="paragraph" w:customStyle="1" w:styleId="85">
    <w:name w:val="列出段落"/>
    <w:basedOn w:val="1"/>
    <w:link w:val="86"/>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
    <w:basedOn w:val="1"/>
    <w:qFormat/>
    <w:uiPriority w:val="0"/>
    <w:pPr>
      <w:keepNext w:val="0"/>
      <w:keepLines w:val="0"/>
      <w:widowControl w:val="0"/>
      <w:suppressLineNumbers w:val="0"/>
      <w:overflowPunct/>
      <w:autoSpaceDE/>
      <w:autoSpaceDN/>
      <w:adjustRightInd/>
      <w:spacing w:before="0" w:beforeAutospacing="0" w:after="0" w:afterAutospacing="0"/>
      <w:ind w:left="0" w:right="0" w:firstLine="420" w:firstLineChars="200"/>
      <w:jc w:val="both"/>
    </w:pPr>
    <w:rPr>
      <w:rFonts w:hint="eastAsia" w:ascii="Yu Mincho" w:hAnsi="Yu Mincho" w:eastAsia="Yu Mincho" w:cs="Times New Roman"/>
      <w:kern w:val="2"/>
      <w:sz w:val="21"/>
      <w:szCs w:val="22"/>
      <w:lang w:val="en-US" w:eastAsia="zh-CN" w:bidi="ar"/>
    </w:rPr>
  </w:style>
  <w:style w:type="character" w:customStyle="1" w:styleId="88">
    <w:name w:val="TAL Car"/>
    <w:basedOn w:val="32"/>
    <w:uiPriority w:val="0"/>
    <w:rPr>
      <w:rFonts w:ascii="Arial" w:hAnsi="Arial" w:eastAsia="Times New Roman" w:cs="Times New Roman"/>
      <w:sz w:val="18"/>
      <w:szCs w:val="20"/>
      <w:lang w:val="en-US" w:eastAsia="en-US"/>
    </w:rPr>
  </w:style>
  <w:style w:type="character" w:customStyle="1" w:styleId="89">
    <w:name w:val="TAC Char"/>
    <w:basedOn w:val="32"/>
    <w:uiPriority w:val="0"/>
    <w:rPr>
      <w:rFonts w:hint="default" w:ascii="Arial" w:hAnsi="Arial" w:eastAsia="Times New Roman" w:cs="Times New Roman"/>
      <w:sz w:val="18"/>
      <w:szCs w:val="20"/>
      <w:lang w:val="en-US" w:eastAsia="en-US"/>
    </w:rPr>
  </w:style>
  <w:style w:type="character" w:customStyle="1" w:styleId="90">
    <w:name w:val="TAH Car"/>
    <w:basedOn w:val="32"/>
    <w:uiPriority w:val="0"/>
    <w:rPr>
      <w:rFonts w:hint="default" w:ascii="Arial" w:hAnsi="Arial" w:eastAsia="Times New Roman" w:cs="Times New Roman"/>
      <w:b/>
      <w:sz w:val="18"/>
      <w:szCs w:val="20"/>
      <w:lang w:val="en-US" w:eastAsia="en-US"/>
    </w:rPr>
  </w:style>
  <w:style w:type="character" w:customStyle="1" w:styleId="91">
    <w:name w:val="TAN Char"/>
    <w:basedOn w:val="32"/>
    <w:qFormat/>
    <w:uiPriority w:val="0"/>
    <w:rPr>
      <w:rFonts w:hint="default" w:ascii="Arial" w:hAnsi="Arial" w:eastAsia="Times New Roman" w:cs="Times New Roman"/>
      <w:sz w:val="18"/>
      <w:szCs w:val="20"/>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2025-05-09T13:03:42Z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